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70F53" w14:textId="28F1D2CA" w:rsidR="00F03E71" w:rsidRPr="00C82E85" w:rsidRDefault="00F03E71" w:rsidP="00F03E71">
      <w:pPr>
        <w:ind w:right="6"/>
        <w:jc w:val="center"/>
        <w:rPr>
          <w:rFonts w:ascii="Verdana" w:hAnsi="Verdana" w:cs="Arial"/>
        </w:rPr>
      </w:pPr>
      <w:r w:rsidRPr="00C82E85">
        <w:rPr>
          <w:rFonts w:ascii="Verdana" w:hAnsi="Verdana" w:cs="Arial"/>
          <w:sz w:val="16"/>
        </w:rPr>
        <w:t>D</w:t>
      </w:r>
      <w:r w:rsidR="00A81B91">
        <w:rPr>
          <w:rFonts w:ascii="Verdana" w:hAnsi="Verdana" w:cs="Arial"/>
          <w:sz w:val="16"/>
        </w:rPr>
        <w:t>É</w:t>
      </w:r>
      <w:r w:rsidRPr="00C82E85">
        <w:rPr>
          <w:rFonts w:ascii="Verdana" w:hAnsi="Verdana" w:cs="Arial"/>
          <w:sz w:val="16"/>
        </w:rPr>
        <w:t xml:space="preserve">PARTEMENT DU VAR </w:t>
      </w:r>
    </w:p>
    <w:p w14:paraId="06B3DE43" w14:textId="77777777" w:rsidR="00F03E71" w:rsidRPr="006E2111" w:rsidRDefault="00F03E71" w:rsidP="00F03E71">
      <w:pPr>
        <w:jc w:val="center"/>
        <w:rPr>
          <w:rFonts w:ascii="Arial" w:hAnsi="Arial" w:cs="Arial"/>
        </w:rPr>
      </w:pPr>
      <w:r w:rsidRPr="006E2111">
        <w:rPr>
          <w:rFonts w:ascii="Arial" w:hAnsi="Arial" w:cs="Arial"/>
          <w:sz w:val="16"/>
        </w:rPr>
        <w:t xml:space="preserve">___ </w:t>
      </w:r>
    </w:p>
    <w:p w14:paraId="3D627486" w14:textId="77777777" w:rsidR="00F03E71" w:rsidRPr="006E2111" w:rsidRDefault="00F03E71" w:rsidP="00F03E71">
      <w:pPr>
        <w:jc w:val="center"/>
        <w:rPr>
          <w:rFonts w:ascii="Arial" w:hAnsi="Arial" w:cs="Arial"/>
        </w:rPr>
      </w:pPr>
      <w:r w:rsidRPr="006E2111">
        <w:rPr>
          <w:rFonts w:ascii="Arial" w:hAnsi="Arial" w:cs="Arial"/>
          <w:sz w:val="16"/>
        </w:rPr>
        <w:t xml:space="preserve"> </w:t>
      </w:r>
    </w:p>
    <w:p w14:paraId="051D1DC3" w14:textId="274013DD" w:rsidR="00F03E71" w:rsidRPr="00C82E85" w:rsidRDefault="00F03E71" w:rsidP="00F03E71">
      <w:pPr>
        <w:ind w:right="4"/>
        <w:jc w:val="center"/>
        <w:rPr>
          <w:rFonts w:ascii="Verdana" w:hAnsi="Verdana" w:cs="Arial"/>
          <w:caps/>
          <w:szCs w:val="16"/>
        </w:rPr>
      </w:pPr>
      <w:r w:rsidRPr="00C82E85">
        <w:rPr>
          <w:rFonts w:ascii="Verdana" w:hAnsi="Verdana" w:cs="Arial"/>
          <w:caps/>
          <w:sz w:val="16"/>
          <w:szCs w:val="16"/>
        </w:rPr>
        <w:t>COMMUNE DE Trans</w:t>
      </w:r>
      <w:r w:rsidR="00A06EA9">
        <w:rPr>
          <w:rFonts w:ascii="Verdana" w:hAnsi="Verdana" w:cs="Arial"/>
          <w:caps/>
          <w:sz w:val="16"/>
          <w:szCs w:val="16"/>
        </w:rPr>
        <w:t>-</w:t>
      </w:r>
      <w:r w:rsidRPr="00C82E85">
        <w:rPr>
          <w:rFonts w:ascii="Verdana" w:hAnsi="Verdana" w:cs="Arial"/>
          <w:caps/>
          <w:sz w:val="16"/>
          <w:szCs w:val="16"/>
        </w:rPr>
        <w:t>en</w:t>
      </w:r>
      <w:r w:rsidR="00A06EA9">
        <w:rPr>
          <w:rFonts w:ascii="Verdana" w:hAnsi="Verdana" w:cs="Arial"/>
          <w:caps/>
          <w:sz w:val="16"/>
          <w:szCs w:val="16"/>
        </w:rPr>
        <w:t>-</w:t>
      </w:r>
      <w:r w:rsidRPr="00C82E85">
        <w:rPr>
          <w:rFonts w:ascii="Verdana" w:hAnsi="Verdana" w:cs="Arial"/>
          <w:caps/>
          <w:sz w:val="16"/>
          <w:szCs w:val="16"/>
        </w:rPr>
        <w:t xml:space="preserve">Provence </w:t>
      </w:r>
    </w:p>
    <w:p w14:paraId="490B7697" w14:textId="77777777" w:rsidR="00F03E71" w:rsidRPr="006E2111" w:rsidRDefault="00F03E71" w:rsidP="00F03E71">
      <w:pPr>
        <w:jc w:val="center"/>
        <w:rPr>
          <w:rFonts w:ascii="Arial" w:hAnsi="Arial" w:cs="Arial"/>
        </w:rPr>
      </w:pPr>
      <w:r w:rsidRPr="006E2111">
        <w:rPr>
          <w:rFonts w:ascii="Arial" w:hAnsi="Arial" w:cs="Arial"/>
          <w:sz w:val="16"/>
        </w:rPr>
        <w:t xml:space="preserve">_____ </w:t>
      </w:r>
    </w:p>
    <w:p w14:paraId="57D153E6" w14:textId="77777777" w:rsidR="00F03E71" w:rsidRPr="006E2111" w:rsidRDefault="00F03E71" w:rsidP="00F03E71">
      <w:pPr>
        <w:ind w:right="3487"/>
        <w:rPr>
          <w:rFonts w:ascii="Arial" w:hAnsi="Arial" w:cs="Arial"/>
        </w:rPr>
      </w:pPr>
    </w:p>
    <w:p w14:paraId="148C7E9E" w14:textId="77777777" w:rsidR="00F03E71" w:rsidRPr="00C82E85" w:rsidRDefault="00F03E71" w:rsidP="00F03E71">
      <w:pPr>
        <w:jc w:val="center"/>
        <w:rPr>
          <w:rFonts w:ascii="Verdana" w:hAnsi="Verdana" w:cs="Arial"/>
          <w:b/>
          <w:sz w:val="36"/>
          <w:szCs w:val="36"/>
        </w:rPr>
      </w:pPr>
      <w:r w:rsidRPr="00C82E85">
        <w:rPr>
          <w:rFonts w:ascii="Verdana" w:hAnsi="Verdana" w:cs="Arial"/>
          <w:sz w:val="36"/>
          <w:szCs w:val="36"/>
        </w:rPr>
        <w:t>MARCH</w:t>
      </w:r>
      <w:r w:rsidR="006E2CF4" w:rsidRPr="00C82E85">
        <w:rPr>
          <w:rFonts w:ascii="Verdana" w:hAnsi="Verdana" w:cs="Arial"/>
          <w:sz w:val="36"/>
          <w:szCs w:val="36"/>
        </w:rPr>
        <w:t>É</w:t>
      </w:r>
      <w:r w:rsidRPr="00C82E85">
        <w:rPr>
          <w:rFonts w:ascii="Verdana" w:hAnsi="Verdana" w:cs="Arial"/>
          <w:sz w:val="36"/>
          <w:szCs w:val="36"/>
        </w:rPr>
        <w:t>S PUBLICS DE FOURNITURES ET SERVICES</w:t>
      </w:r>
    </w:p>
    <w:p w14:paraId="6CE221A0" w14:textId="77777777" w:rsidR="00F03E71" w:rsidRPr="006E2111" w:rsidRDefault="00F03E71" w:rsidP="00F03E71">
      <w:pPr>
        <w:ind w:left="38"/>
        <w:rPr>
          <w:rFonts w:ascii="Arial" w:hAnsi="Arial" w:cs="Arial"/>
        </w:rPr>
      </w:pPr>
    </w:p>
    <w:p w14:paraId="3A30FA1A" w14:textId="77777777" w:rsidR="00F03E71" w:rsidRDefault="00F03E71" w:rsidP="00F03E71">
      <w:pPr>
        <w:ind w:left="2552"/>
        <w:rPr>
          <w:rFonts w:ascii="Arial" w:hAnsi="Arial" w:cs="Arial"/>
          <w:noProof/>
        </w:rPr>
      </w:pPr>
      <w:r>
        <w:rPr>
          <w:rFonts w:ascii="Arial" w:hAnsi="Arial" w:cs="Arial"/>
          <w:noProof/>
        </w:rPr>
        <w:drawing>
          <wp:inline distT="0" distB="0" distL="0" distR="0" wp14:anchorId="4B966E1D" wp14:editId="650B2B5F">
            <wp:extent cx="2607945" cy="1477645"/>
            <wp:effectExtent l="19050" t="0" r="1905"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srcRect/>
                    <a:stretch>
                      <a:fillRect/>
                    </a:stretch>
                  </pic:blipFill>
                  <pic:spPr bwMode="auto">
                    <a:xfrm>
                      <a:off x="0" y="0"/>
                      <a:ext cx="2607945" cy="1477645"/>
                    </a:xfrm>
                    <a:prstGeom prst="rect">
                      <a:avLst/>
                    </a:prstGeom>
                    <a:noFill/>
                    <a:ln w="9525">
                      <a:noFill/>
                      <a:miter lim="800000"/>
                      <a:headEnd/>
                      <a:tailEnd/>
                    </a:ln>
                  </pic:spPr>
                </pic:pic>
              </a:graphicData>
            </a:graphic>
          </wp:inline>
        </w:drawing>
      </w:r>
    </w:p>
    <w:p w14:paraId="03F77E68" w14:textId="77777777" w:rsidR="00F03E71" w:rsidRPr="006E2111" w:rsidRDefault="00F03E71" w:rsidP="00F03E71">
      <w:pPr>
        <w:ind w:left="2552"/>
        <w:rPr>
          <w:rFonts w:ascii="Arial" w:hAnsi="Arial" w:cs="Arial"/>
        </w:rPr>
      </w:pPr>
    </w:p>
    <w:p w14:paraId="48B90FC8" w14:textId="4E9F3524" w:rsidR="00F03E71" w:rsidRPr="00C82E85" w:rsidRDefault="00F03E71" w:rsidP="00F03E71">
      <w:pPr>
        <w:jc w:val="center"/>
        <w:rPr>
          <w:rFonts w:ascii="Verdana" w:hAnsi="Verdana" w:cs="Arial"/>
          <w:sz w:val="28"/>
        </w:rPr>
      </w:pPr>
      <w:r w:rsidRPr="00C82E85">
        <w:rPr>
          <w:rFonts w:ascii="Verdana" w:hAnsi="Verdana" w:cs="Arial"/>
          <w:sz w:val="28"/>
        </w:rPr>
        <w:t>COMMUNE DE TRANS</w:t>
      </w:r>
      <w:r w:rsidR="00A06EA9">
        <w:rPr>
          <w:rFonts w:ascii="Verdana" w:hAnsi="Verdana" w:cs="Arial"/>
          <w:sz w:val="28"/>
        </w:rPr>
        <w:t>-</w:t>
      </w:r>
      <w:r w:rsidRPr="00C82E85">
        <w:rPr>
          <w:rFonts w:ascii="Verdana" w:hAnsi="Verdana" w:cs="Arial"/>
          <w:sz w:val="28"/>
        </w:rPr>
        <w:t>EN</w:t>
      </w:r>
      <w:r w:rsidR="00A06EA9">
        <w:rPr>
          <w:rFonts w:ascii="Verdana" w:hAnsi="Verdana" w:cs="Arial"/>
          <w:sz w:val="28"/>
        </w:rPr>
        <w:t>-</w:t>
      </w:r>
      <w:r w:rsidRPr="00C82E85">
        <w:rPr>
          <w:rFonts w:ascii="Verdana" w:hAnsi="Verdana" w:cs="Arial"/>
          <w:sz w:val="28"/>
        </w:rPr>
        <w:t>PROVENCE</w:t>
      </w:r>
    </w:p>
    <w:p w14:paraId="7E9F47BD" w14:textId="77777777" w:rsidR="00F03E71" w:rsidRPr="00C82E85" w:rsidRDefault="00F03E71" w:rsidP="00F03E71">
      <w:pPr>
        <w:jc w:val="center"/>
        <w:rPr>
          <w:rFonts w:ascii="Verdana" w:hAnsi="Verdana" w:cs="Arial"/>
        </w:rPr>
      </w:pPr>
      <w:r w:rsidRPr="00C82E85">
        <w:rPr>
          <w:rFonts w:ascii="Verdana" w:hAnsi="Verdana" w:cs="Arial"/>
        </w:rPr>
        <w:t>25, Avenue de la Gare</w:t>
      </w:r>
    </w:p>
    <w:p w14:paraId="3F9026EE" w14:textId="65C7D34D" w:rsidR="00F03E71" w:rsidRPr="00C82E85" w:rsidRDefault="00F03E71" w:rsidP="00F03E71">
      <w:pPr>
        <w:jc w:val="center"/>
        <w:rPr>
          <w:rFonts w:ascii="Verdana" w:hAnsi="Verdana" w:cs="Arial"/>
        </w:rPr>
      </w:pPr>
      <w:r w:rsidRPr="00C82E85">
        <w:rPr>
          <w:rFonts w:ascii="Verdana" w:hAnsi="Verdana" w:cs="Arial"/>
        </w:rPr>
        <w:t>83720 TRANS</w:t>
      </w:r>
      <w:r w:rsidR="00A06EA9">
        <w:rPr>
          <w:rFonts w:ascii="Verdana" w:hAnsi="Verdana" w:cs="Arial"/>
        </w:rPr>
        <w:t>-</w:t>
      </w:r>
      <w:r w:rsidRPr="00C82E85">
        <w:rPr>
          <w:rFonts w:ascii="Verdana" w:hAnsi="Verdana" w:cs="Arial"/>
        </w:rPr>
        <w:t>EN</w:t>
      </w:r>
      <w:r w:rsidR="00A06EA9">
        <w:rPr>
          <w:rFonts w:ascii="Verdana" w:hAnsi="Verdana" w:cs="Arial"/>
        </w:rPr>
        <w:t>-</w:t>
      </w:r>
      <w:r w:rsidRPr="00C82E85">
        <w:rPr>
          <w:rFonts w:ascii="Verdana" w:hAnsi="Verdana" w:cs="Arial"/>
        </w:rPr>
        <w:t>PROVENCE</w:t>
      </w:r>
    </w:p>
    <w:p w14:paraId="18324950" w14:textId="77777777" w:rsidR="00F03E71" w:rsidRPr="00C82E85" w:rsidRDefault="00F03E71" w:rsidP="00F03E71">
      <w:pPr>
        <w:jc w:val="center"/>
        <w:rPr>
          <w:rFonts w:ascii="Verdana" w:hAnsi="Verdana" w:cs="Arial"/>
          <w:sz w:val="16"/>
        </w:rPr>
      </w:pPr>
    </w:p>
    <w:p w14:paraId="5C33352A" w14:textId="77777777" w:rsidR="00F03E71" w:rsidRPr="00C82E85" w:rsidRDefault="00F03E71" w:rsidP="00F03E71">
      <w:pPr>
        <w:jc w:val="center"/>
        <w:rPr>
          <w:rFonts w:ascii="Verdana" w:hAnsi="Verdana" w:cs="Arial"/>
        </w:rPr>
      </w:pPr>
      <w:r w:rsidRPr="00C82E85">
        <w:rPr>
          <w:rFonts w:ascii="Verdana" w:hAnsi="Verdana" w:cs="Arial"/>
        </w:rPr>
        <w:t>Tél. : 04.98.10.43.20 ~ Fax. : 04.98.10.43.29</w:t>
      </w:r>
    </w:p>
    <w:p w14:paraId="338B6174" w14:textId="77777777" w:rsidR="00F03E71" w:rsidRPr="00C82E85" w:rsidRDefault="00F03E71" w:rsidP="00F03E71">
      <w:pPr>
        <w:jc w:val="center"/>
        <w:rPr>
          <w:rFonts w:ascii="Verdana" w:hAnsi="Verdana" w:cs="Arial"/>
          <w:sz w:val="36"/>
        </w:rPr>
      </w:pPr>
    </w:p>
    <w:p w14:paraId="052666C7" w14:textId="77777777" w:rsidR="00F03E71" w:rsidRPr="00C82E85" w:rsidRDefault="00F03E71" w:rsidP="00F03E71">
      <w:pPr>
        <w:jc w:val="center"/>
        <w:rPr>
          <w:rFonts w:ascii="Verdana" w:hAnsi="Verdana" w:cs="Arial"/>
          <w:b/>
          <w:sz w:val="32"/>
          <w:u w:val="single"/>
        </w:rPr>
      </w:pPr>
      <w:r w:rsidRPr="00C82E85">
        <w:rPr>
          <w:rFonts w:ascii="Verdana" w:hAnsi="Verdana" w:cs="Arial"/>
          <w:b/>
          <w:sz w:val="32"/>
          <w:u w:val="single"/>
        </w:rPr>
        <w:t>OBJET DU MARCH</w:t>
      </w:r>
      <w:r w:rsidR="006E2CF4" w:rsidRPr="00C82E85">
        <w:rPr>
          <w:rFonts w:ascii="Verdana" w:hAnsi="Verdana" w:cs="Arial"/>
          <w:b/>
          <w:sz w:val="32"/>
          <w:u w:val="single"/>
        </w:rPr>
        <w:t>É</w:t>
      </w:r>
      <w:r w:rsidRPr="00C82E85">
        <w:rPr>
          <w:rFonts w:ascii="Verdana" w:hAnsi="Verdana" w:cs="Arial"/>
          <w:b/>
          <w:sz w:val="32"/>
          <w:u w:val="single"/>
        </w:rPr>
        <w:t> :</w:t>
      </w:r>
    </w:p>
    <w:p w14:paraId="2D418648" w14:textId="77777777" w:rsidR="00F03E71" w:rsidRPr="00110D35" w:rsidRDefault="00F03E71" w:rsidP="00F03E71">
      <w:pPr>
        <w:ind w:left="79"/>
        <w:jc w:val="center"/>
        <w:rPr>
          <w:rFonts w:ascii="Arial" w:hAnsi="Arial" w:cs="Arial"/>
          <w:sz w:val="36"/>
        </w:rPr>
      </w:pPr>
    </w:p>
    <w:p w14:paraId="45C95584" w14:textId="039EF93C" w:rsidR="00F03E71" w:rsidRPr="00C82E85" w:rsidRDefault="00F03E71" w:rsidP="00F03E71">
      <w:pPr>
        <w:pBdr>
          <w:top w:val="single" w:sz="12" w:space="0" w:color="000000"/>
          <w:left w:val="single" w:sz="12" w:space="0" w:color="000000"/>
          <w:bottom w:val="single" w:sz="23" w:space="0" w:color="000000"/>
          <w:right w:val="single" w:sz="29" w:space="0" w:color="000000"/>
        </w:pBdr>
        <w:spacing w:line="264" w:lineRule="auto"/>
        <w:jc w:val="center"/>
        <w:rPr>
          <w:rFonts w:ascii="Verdana" w:hAnsi="Verdana" w:cs="Arial"/>
          <w:sz w:val="32"/>
        </w:rPr>
      </w:pPr>
      <w:r w:rsidRPr="00C82E85">
        <w:rPr>
          <w:rFonts w:ascii="Verdana" w:hAnsi="Verdana" w:cs="Arial"/>
          <w:sz w:val="32"/>
        </w:rPr>
        <w:t>Accord-cadre de prestations de service : fourniture de titres restaurant</w:t>
      </w:r>
      <w:r w:rsidR="00533990">
        <w:rPr>
          <w:rFonts w:ascii="Verdana" w:hAnsi="Verdana" w:cs="Arial"/>
          <w:sz w:val="32"/>
        </w:rPr>
        <w:t xml:space="preserve"> dématérialisés</w:t>
      </w:r>
      <w:r w:rsidRPr="00C82E85">
        <w:rPr>
          <w:rFonts w:ascii="Verdana" w:hAnsi="Verdana" w:cs="Arial"/>
          <w:sz w:val="32"/>
        </w:rPr>
        <w:t xml:space="preserve"> pour les agents de la Commune et du CCAS</w:t>
      </w:r>
    </w:p>
    <w:p w14:paraId="57E28F3B" w14:textId="77777777" w:rsidR="00F03E71" w:rsidRPr="006E2111" w:rsidRDefault="00F03E71" w:rsidP="00F03E71">
      <w:pPr>
        <w:ind w:left="38"/>
        <w:rPr>
          <w:rFonts w:ascii="Arial" w:hAnsi="Arial" w:cs="Arial"/>
        </w:rPr>
      </w:pPr>
    </w:p>
    <w:p w14:paraId="299DA1F4" w14:textId="77777777" w:rsidR="00F03E71" w:rsidRPr="006E2111" w:rsidRDefault="00F03E71" w:rsidP="00F03E71">
      <w:pPr>
        <w:jc w:val="center"/>
        <w:rPr>
          <w:rFonts w:ascii="Arial" w:hAnsi="Arial" w:cs="Arial"/>
          <w:color w:val="000000"/>
          <w:sz w:val="32"/>
          <w:szCs w:val="32"/>
        </w:rPr>
      </w:pPr>
    </w:p>
    <w:p w14:paraId="1F5AC71D" w14:textId="77777777" w:rsidR="00F03E71" w:rsidRPr="00C82E85" w:rsidRDefault="00F03E71" w:rsidP="00F03E71">
      <w:pPr>
        <w:jc w:val="center"/>
        <w:rPr>
          <w:rFonts w:ascii="Verdana" w:hAnsi="Verdana" w:cs="Arial"/>
          <w:caps/>
          <w:color w:val="000000"/>
          <w:sz w:val="32"/>
          <w:szCs w:val="32"/>
        </w:rPr>
      </w:pPr>
      <w:r w:rsidRPr="00C82E85">
        <w:rPr>
          <w:rFonts w:ascii="Verdana" w:hAnsi="Verdana" w:cs="Arial"/>
          <w:caps/>
          <w:color w:val="000000"/>
          <w:sz w:val="32"/>
          <w:szCs w:val="32"/>
        </w:rPr>
        <w:t>R</w:t>
      </w:r>
      <w:r w:rsidR="006E2CF4" w:rsidRPr="00C82E85">
        <w:rPr>
          <w:rFonts w:ascii="Verdana" w:hAnsi="Verdana" w:cs="Arial"/>
          <w:caps/>
          <w:color w:val="000000"/>
          <w:sz w:val="32"/>
          <w:szCs w:val="32"/>
        </w:rPr>
        <w:t>È</w:t>
      </w:r>
      <w:r w:rsidRPr="00C82E85">
        <w:rPr>
          <w:rFonts w:ascii="Verdana" w:hAnsi="Verdana" w:cs="Arial"/>
          <w:caps/>
          <w:color w:val="000000"/>
          <w:sz w:val="32"/>
          <w:szCs w:val="32"/>
        </w:rPr>
        <w:t>GLEMENT DE CONSULTATION (R.c.)</w:t>
      </w:r>
    </w:p>
    <w:p w14:paraId="78956339" w14:textId="77777777" w:rsidR="00F03E71" w:rsidRDefault="00F03E71" w:rsidP="00F03E71">
      <w:pPr>
        <w:jc w:val="center"/>
        <w:rPr>
          <w:rFonts w:ascii="Arial" w:hAnsi="Arial" w:cs="Arial"/>
          <w:b/>
          <w:bCs/>
          <w:color w:val="000000"/>
        </w:rPr>
      </w:pPr>
    </w:p>
    <w:p w14:paraId="160C6AAF" w14:textId="77777777" w:rsidR="00F03E71" w:rsidRPr="00E85638" w:rsidRDefault="00F03E71" w:rsidP="00F03E71">
      <w:pPr>
        <w:rPr>
          <w:rFonts w:ascii="Arial" w:hAnsi="Arial" w:cs="Arial"/>
          <w:b/>
          <w:bCs/>
          <w:color w:val="000000"/>
        </w:rPr>
      </w:pPr>
    </w:p>
    <w:p w14:paraId="7565817B" w14:textId="38616010" w:rsidR="00F03E71" w:rsidRPr="00C82E85" w:rsidRDefault="00F03E71" w:rsidP="00F03E71">
      <w:pPr>
        <w:pBdr>
          <w:top w:val="single" w:sz="4" w:space="1" w:color="auto"/>
          <w:left w:val="single" w:sz="4" w:space="4" w:color="auto"/>
          <w:bottom w:val="single" w:sz="4" w:space="1" w:color="auto"/>
          <w:right w:val="single" w:sz="4" w:space="4" w:color="auto"/>
        </w:pBdr>
        <w:jc w:val="center"/>
        <w:rPr>
          <w:rFonts w:ascii="Verdana" w:hAnsi="Verdana" w:cs="Arial"/>
          <w:b/>
          <w:bCs/>
          <w:color w:val="000000"/>
        </w:rPr>
      </w:pPr>
      <w:r w:rsidRPr="00C82E85">
        <w:rPr>
          <w:rFonts w:ascii="Verdana" w:hAnsi="Verdana" w:cs="Arial"/>
          <w:b/>
          <w:bCs/>
          <w:color w:val="000000"/>
        </w:rPr>
        <w:t>POUVOIR ADJUDICATEUR : COMMUNE DE TRANS</w:t>
      </w:r>
      <w:r w:rsidR="00C82E85">
        <w:rPr>
          <w:rFonts w:ascii="Verdana" w:hAnsi="Verdana" w:cs="Arial"/>
          <w:b/>
          <w:bCs/>
          <w:color w:val="000000"/>
        </w:rPr>
        <w:t>-</w:t>
      </w:r>
      <w:r w:rsidRPr="00C82E85">
        <w:rPr>
          <w:rFonts w:ascii="Verdana" w:hAnsi="Verdana" w:cs="Arial"/>
          <w:b/>
          <w:bCs/>
          <w:color w:val="000000"/>
        </w:rPr>
        <w:t>EN</w:t>
      </w:r>
      <w:r w:rsidR="00C82E85">
        <w:rPr>
          <w:rFonts w:ascii="Verdana" w:hAnsi="Verdana" w:cs="Arial"/>
          <w:b/>
          <w:bCs/>
          <w:color w:val="000000"/>
        </w:rPr>
        <w:t>-</w:t>
      </w:r>
      <w:r w:rsidRPr="00C82E85">
        <w:rPr>
          <w:rFonts w:ascii="Verdana" w:hAnsi="Verdana" w:cs="Arial"/>
          <w:b/>
          <w:bCs/>
          <w:color w:val="000000"/>
        </w:rPr>
        <w:t>PROVENCE</w:t>
      </w:r>
    </w:p>
    <w:p w14:paraId="52253794" w14:textId="77777777" w:rsidR="00F03E71" w:rsidRPr="00C82E85" w:rsidRDefault="00F03E71" w:rsidP="00F03E71">
      <w:pPr>
        <w:pBdr>
          <w:top w:val="single" w:sz="4" w:space="1" w:color="auto"/>
          <w:left w:val="single" w:sz="4" w:space="4" w:color="auto"/>
          <w:bottom w:val="single" w:sz="4" w:space="1" w:color="auto"/>
          <w:right w:val="single" w:sz="4" w:space="4" w:color="auto"/>
        </w:pBdr>
        <w:jc w:val="center"/>
        <w:rPr>
          <w:rFonts w:ascii="Verdana" w:hAnsi="Verdana" w:cs="Arial"/>
          <w:color w:val="000000"/>
        </w:rPr>
      </w:pPr>
    </w:p>
    <w:p w14:paraId="78D2182E" w14:textId="7F5CE969" w:rsidR="00F03E71" w:rsidRPr="00C82E85" w:rsidRDefault="00C82E85" w:rsidP="00F03E71">
      <w:pPr>
        <w:pBdr>
          <w:top w:val="single" w:sz="4" w:space="1" w:color="auto"/>
          <w:left w:val="single" w:sz="4" w:space="4" w:color="auto"/>
          <w:bottom w:val="single" w:sz="4" w:space="1" w:color="auto"/>
          <w:right w:val="single" w:sz="4" w:space="4" w:color="auto"/>
        </w:pBdr>
        <w:jc w:val="center"/>
        <w:rPr>
          <w:rFonts w:ascii="Verdana" w:hAnsi="Verdana" w:cs="Arial"/>
          <w:color w:val="000000"/>
        </w:rPr>
      </w:pPr>
      <w:r>
        <w:rPr>
          <w:rFonts w:ascii="Verdana" w:hAnsi="Verdana" w:cs="Arial"/>
          <w:color w:val="000000"/>
        </w:rPr>
        <w:t>Mairie</w:t>
      </w:r>
      <w:r w:rsidR="00F03E71" w:rsidRPr="00C82E85">
        <w:rPr>
          <w:rFonts w:ascii="Verdana" w:hAnsi="Verdana" w:cs="Arial"/>
          <w:color w:val="000000"/>
        </w:rPr>
        <w:t xml:space="preserve"> – 25 avenue de la Gare</w:t>
      </w:r>
    </w:p>
    <w:p w14:paraId="2EF6A0BC" w14:textId="5F3EB2C8" w:rsidR="00F03E71" w:rsidRPr="00C82E85" w:rsidRDefault="00F03E71" w:rsidP="00F03E71">
      <w:pPr>
        <w:pBdr>
          <w:top w:val="single" w:sz="4" w:space="1" w:color="auto"/>
          <w:left w:val="single" w:sz="4" w:space="4" w:color="auto"/>
          <w:bottom w:val="single" w:sz="4" w:space="1" w:color="auto"/>
          <w:right w:val="single" w:sz="4" w:space="4" w:color="auto"/>
        </w:pBdr>
        <w:jc w:val="center"/>
        <w:rPr>
          <w:rFonts w:ascii="Verdana" w:hAnsi="Verdana" w:cs="Arial"/>
          <w:color w:val="000000"/>
        </w:rPr>
      </w:pPr>
      <w:r w:rsidRPr="00C82E85">
        <w:rPr>
          <w:rFonts w:ascii="Verdana" w:hAnsi="Verdana" w:cs="Arial"/>
          <w:color w:val="000000"/>
        </w:rPr>
        <w:t>83720 TRANS</w:t>
      </w:r>
      <w:r w:rsidR="00C82E85">
        <w:rPr>
          <w:rFonts w:ascii="Verdana" w:hAnsi="Verdana" w:cs="Arial"/>
          <w:color w:val="000000"/>
        </w:rPr>
        <w:t>-</w:t>
      </w:r>
      <w:r w:rsidRPr="00C82E85">
        <w:rPr>
          <w:rFonts w:ascii="Verdana" w:hAnsi="Verdana" w:cs="Arial"/>
          <w:color w:val="000000"/>
        </w:rPr>
        <w:t>EN</w:t>
      </w:r>
      <w:r w:rsidR="00C82E85">
        <w:rPr>
          <w:rFonts w:ascii="Verdana" w:hAnsi="Verdana" w:cs="Arial"/>
          <w:color w:val="000000"/>
        </w:rPr>
        <w:t>-</w:t>
      </w:r>
      <w:r w:rsidRPr="00C82E85">
        <w:rPr>
          <w:rFonts w:ascii="Verdana" w:hAnsi="Verdana" w:cs="Arial"/>
          <w:color w:val="000000"/>
        </w:rPr>
        <w:t>PROVENCE</w:t>
      </w:r>
    </w:p>
    <w:p w14:paraId="4681283C" w14:textId="77777777" w:rsidR="00F03E71" w:rsidRPr="00C82E85" w:rsidRDefault="00F03E71" w:rsidP="00F03E71">
      <w:pPr>
        <w:pBdr>
          <w:top w:val="single" w:sz="4" w:space="1" w:color="auto"/>
          <w:left w:val="single" w:sz="4" w:space="4" w:color="auto"/>
          <w:bottom w:val="single" w:sz="4" w:space="1" w:color="auto"/>
          <w:right w:val="single" w:sz="4" w:space="4" w:color="auto"/>
        </w:pBdr>
        <w:jc w:val="center"/>
        <w:rPr>
          <w:rFonts w:ascii="Verdana" w:hAnsi="Verdana" w:cs="Arial"/>
          <w:color w:val="000000"/>
        </w:rPr>
      </w:pPr>
    </w:p>
    <w:p w14:paraId="63F15AC4" w14:textId="728CDE4B" w:rsidR="00F03E71" w:rsidRPr="00C82E85" w:rsidRDefault="00F03E71" w:rsidP="00F03E71">
      <w:pPr>
        <w:pBdr>
          <w:top w:val="single" w:sz="4" w:space="1" w:color="auto"/>
          <w:left w:val="single" w:sz="4" w:space="4" w:color="auto"/>
          <w:bottom w:val="single" w:sz="4" w:space="1" w:color="auto"/>
          <w:right w:val="single" w:sz="4" w:space="4" w:color="auto"/>
        </w:pBdr>
        <w:jc w:val="center"/>
        <w:rPr>
          <w:rFonts w:ascii="Verdana" w:hAnsi="Verdana" w:cs="Arial"/>
          <w:color w:val="000000"/>
        </w:rPr>
      </w:pPr>
      <w:r w:rsidRPr="00C82E85">
        <w:rPr>
          <w:rFonts w:ascii="Verdana" w:hAnsi="Verdana" w:cs="Arial"/>
          <w:color w:val="000000"/>
        </w:rPr>
        <w:t>T</w:t>
      </w:r>
      <w:r w:rsidR="00C82E85">
        <w:rPr>
          <w:rFonts w:ascii="Verdana" w:hAnsi="Verdana" w:cs="Arial"/>
          <w:color w:val="000000"/>
        </w:rPr>
        <w:t>el :</w:t>
      </w:r>
      <w:r w:rsidRPr="00C82E85">
        <w:rPr>
          <w:rFonts w:ascii="Verdana" w:hAnsi="Verdana" w:cs="Arial"/>
          <w:color w:val="000000"/>
        </w:rPr>
        <w:t xml:space="preserve"> 04.98.10.43.2</w:t>
      </w:r>
      <w:r w:rsidR="000A2FC4" w:rsidRPr="00C82E85">
        <w:rPr>
          <w:rFonts w:ascii="Verdana" w:hAnsi="Verdana" w:cs="Arial"/>
          <w:color w:val="000000"/>
        </w:rPr>
        <w:t>0</w:t>
      </w:r>
    </w:p>
    <w:p w14:paraId="3D33EA4B" w14:textId="77777777" w:rsidR="00F03E71" w:rsidRPr="00E85638" w:rsidRDefault="00F03E71" w:rsidP="00F03E71">
      <w:pPr>
        <w:jc w:val="center"/>
        <w:rPr>
          <w:rFonts w:ascii="Arial" w:hAnsi="Arial" w:cs="Arial"/>
          <w:b/>
          <w:bCs/>
          <w:color w:val="000000"/>
        </w:rPr>
      </w:pPr>
    </w:p>
    <w:p w14:paraId="0BB017F7" w14:textId="77777777" w:rsidR="00F03E71" w:rsidRDefault="00F03E71" w:rsidP="00F03E71">
      <w:pPr>
        <w:jc w:val="center"/>
        <w:rPr>
          <w:rFonts w:ascii="Arial" w:hAnsi="Arial" w:cs="Arial"/>
        </w:rPr>
      </w:pPr>
    </w:p>
    <w:p w14:paraId="7D94149A" w14:textId="1DFFA9CF" w:rsidR="00F03E71" w:rsidRPr="002B0CD8" w:rsidRDefault="002B0CD8" w:rsidP="00F03E71">
      <w:pPr>
        <w:jc w:val="center"/>
        <w:rPr>
          <w:rFonts w:ascii="Arial" w:hAnsi="Arial" w:cs="Arial"/>
          <w:b/>
          <w:bCs/>
          <w:color w:val="FF0000"/>
        </w:rPr>
      </w:pPr>
      <w:r w:rsidRPr="002B0CD8">
        <w:rPr>
          <w:rFonts w:ascii="Arial" w:hAnsi="Arial" w:cs="Arial"/>
          <w:b/>
          <w:bCs/>
          <w:color w:val="FF0000"/>
        </w:rPr>
        <w:t xml:space="preserve">Remise des offres fixée au </w:t>
      </w:r>
      <w:r w:rsidR="008723E1">
        <w:rPr>
          <w:rFonts w:ascii="Arial" w:hAnsi="Arial" w:cs="Arial"/>
          <w:b/>
          <w:bCs/>
          <w:color w:val="FF0000"/>
        </w:rPr>
        <w:t>vendredi 15 novembre</w:t>
      </w:r>
      <w:r w:rsidR="00533990">
        <w:rPr>
          <w:rFonts w:ascii="Arial" w:hAnsi="Arial" w:cs="Arial"/>
          <w:b/>
          <w:bCs/>
          <w:color w:val="FF0000"/>
        </w:rPr>
        <w:t xml:space="preserve"> 2024</w:t>
      </w:r>
      <w:r w:rsidRPr="002B0CD8">
        <w:rPr>
          <w:rFonts w:ascii="Arial" w:hAnsi="Arial" w:cs="Arial"/>
          <w:b/>
          <w:bCs/>
          <w:color w:val="FF0000"/>
        </w:rPr>
        <w:t xml:space="preserve"> à 12h00</w:t>
      </w:r>
    </w:p>
    <w:p w14:paraId="34E748CA" w14:textId="77777777" w:rsidR="00F03E71" w:rsidRDefault="00F03E71" w:rsidP="00F03E71">
      <w:pPr>
        <w:jc w:val="center"/>
        <w:rPr>
          <w:rFonts w:ascii="Arial" w:hAnsi="Arial" w:cs="Arial"/>
        </w:rPr>
      </w:pPr>
    </w:p>
    <w:p w14:paraId="27E03624" w14:textId="77777777" w:rsidR="00F03E71" w:rsidRDefault="00F03E71" w:rsidP="00F03E71">
      <w:pPr>
        <w:jc w:val="center"/>
        <w:rPr>
          <w:rFonts w:ascii="Arial" w:hAnsi="Arial" w:cs="Arial"/>
        </w:rPr>
      </w:pPr>
    </w:p>
    <w:p w14:paraId="5F89C4DD" w14:textId="77777777" w:rsidR="00F03E71" w:rsidRDefault="00F03E71" w:rsidP="00F03E71">
      <w:pPr>
        <w:jc w:val="center"/>
        <w:rPr>
          <w:rFonts w:ascii="Arial" w:hAnsi="Arial" w:cs="Arial"/>
        </w:rPr>
      </w:pPr>
    </w:p>
    <w:p w14:paraId="43523E8F" w14:textId="641A87C2" w:rsidR="00F03E71" w:rsidRPr="00C82E85" w:rsidRDefault="00F03E71" w:rsidP="00F03E71">
      <w:pPr>
        <w:jc w:val="center"/>
        <w:rPr>
          <w:rFonts w:ascii="Verdana" w:hAnsi="Verdana" w:cs="Arial"/>
        </w:rPr>
      </w:pPr>
      <w:r w:rsidRPr="00C82E85">
        <w:rPr>
          <w:rFonts w:ascii="Verdana" w:hAnsi="Verdana" w:cs="Arial"/>
        </w:rPr>
        <w:t xml:space="preserve">Le présent </w:t>
      </w:r>
      <w:r w:rsidR="008F2755" w:rsidRPr="00C82E85">
        <w:rPr>
          <w:rFonts w:ascii="Verdana" w:hAnsi="Verdana" w:cs="Arial"/>
        </w:rPr>
        <w:t>Règlement de Consultation</w:t>
      </w:r>
      <w:r w:rsidRPr="00C82E85">
        <w:rPr>
          <w:rFonts w:ascii="Verdana" w:hAnsi="Verdana" w:cs="Arial"/>
        </w:rPr>
        <w:t xml:space="preserve"> comprend </w:t>
      </w:r>
      <w:r w:rsidR="007D698A">
        <w:rPr>
          <w:rFonts w:ascii="Verdana" w:hAnsi="Verdana" w:cs="Arial"/>
        </w:rPr>
        <w:t>10</w:t>
      </w:r>
      <w:r w:rsidRPr="00C82E85">
        <w:rPr>
          <w:rFonts w:ascii="Verdana" w:hAnsi="Verdana" w:cs="Arial"/>
        </w:rPr>
        <w:t xml:space="preserve"> pages dont la page de couverture.</w:t>
      </w:r>
    </w:p>
    <w:p w14:paraId="434E72E5" w14:textId="7BA52ECD" w:rsidR="004B4BC1" w:rsidRDefault="00361117" w:rsidP="00D6381D">
      <w:pPr>
        <w:spacing w:after="200" w:line="276" w:lineRule="auto"/>
        <w:rPr>
          <w:rFonts w:ascii="Verdana" w:hAnsi="Verdana" w:cs="Times New Roman"/>
          <w:szCs w:val="24"/>
        </w:rPr>
      </w:pPr>
      <w:r>
        <w:rPr>
          <w:rFonts w:ascii="Times New Roman" w:hAnsi="Times New Roman" w:cs="Times New Roman"/>
          <w:b/>
          <w:noProof/>
          <w:sz w:val="32"/>
          <w:szCs w:val="32"/>
        </w:rPr>
        <w:br w:type="page"/>
      </w:r>
    </w:p>
    <w:p w14:paraId="339A9016" w14:textId="13CAA61E" w:rsidR="004B4BC1" w:rsidRPr="00C82E85" w:rsidRDefault="00D6381D" w:rsidP="00D6381D">
      <w:pPr>
        <w:autoSpaceDE w:val="0"/>
        <w:autoSpaceDN w:val="0"/>
        <w:adjustRightInd w:val="0"/>
        <w:jc w:val="both"/>
        <w:rPr>
          <w:rFonts w:ascii="Verdana" w:hAnsi="Verdana" w:cs="Times New Roman"/>
          <w:b/>
          <w:bCs/>
          <w:sz w:val="24"/>
          <w:szCs w:val="24"/>
          <w:u w:val="single"/>
        </w:rPr>
      </w:pPr>
      <w:r w:rsidRPr="00C82E85">
        <w:rPr>
          <w:rFonts w:ascii="Verdana" w:hAnsi="Verdana" w:cs="Times New Roman"/>
          <w:b/>
          <w:bCs/>
          <w:sz w:val="24"/>
          <w:szCs w:val="24"/>
          <w:u w:val="single"/>
        </w:rPr>
        <w:lastRenderedPageBreak/>
        <w:t>1 - ENTITÉ ADJUDICATRICE</w:t>
      </w:r>
    </w:p>
    <w:p w14:paraId="26CC1553" w14:textId="6738A61F" w:rsidR="00D6381D" w:rsidRPr="00C82E85" w:rsidRDefault="00D6381D" w:rsidP="00D6381D">
      <w:pPr>
        <w:autoSpaceDE w:val="0"/>
        <w:autoSpaceDN w:val="0"/>
        <w:adjustRightInd w:val="0"/>
        <w:jc w:val="both"/>
        <w:rPr>
          <w:rFonts w:ascii="Verdana" w:hAnsi="Verdana" w:cs="Times New Roman"/>
          <w:b/>
          <w:bCs/>
          <w:u w:val="single"/>
        </w:rPr>
      </w:pPr>
    </w:p>
    <w:p w14:paraId="0349DC64" w14:textId="6E6FBB05" w:rsidR="00D6381D" w:rsidRPr="00C82E85" w:rsidRDefault="00D6381D" w:rsidP="00D6381D">
      <w:pPr>
        <w:autoSpaceDE w:val="0"/>
        <w:autoSpaceDN w:val="0"/>
        <w:adjustRightInd w:val="0"/>
        <w:jc w:val="both"/>
        <w:rPr>
          <w:rFonts w:ascii="Verdana" w:hAnsi="Verdana" w:cs="Times New Roman"/>
        </w:rPr>
      </w:pPr>
      <w:r w:rsidRPr="00C82E85">
        <w:rPr>
          <w:rFonts w:ascii="Verdana" w:hAnsi="Verdana" w:cs="Times New Roman"/>
        </w:rPr>
        <w:t>Mairie de Trans-en-Provence</w:t>
      </w:r>
    </w:p>
    <w:p w14:paraId="4F669B16" w14:textId="0DE7645D" w:rsidR="00D6381D" w:rsidRPr="00C82E85" w:rsidRDefault="00D6381D" w:rsidP="00D6381D">
      <w:pPr>
        <w:autoSpaceDE w:val="0"/>
        <w:autoSpaceDN w:val="0"/>
        <w:adjustRightInd w:val="0"/>
        <w:jc w:val="both"/>
        <w:rPr>
          <w:rFonts w:ascii="Verdana" w:hAnsi="Verdana" w:cs="Times New Roman"/>
        </w:rPr>
      </w:pPr>
      <w:r w:rsidRPr="00C82E85">
        <w:rPr>
          <w:rFonts w:ascii="Verdana" w:hAnsi="Verdana" w:cs="Times New Roman"/>
        </w:rPr>
        <w:t>25 avenue de la Gare</w:t>
      </w:r>
    </w:p>
    <w:p w14:paraId="0101EA87" w14:textId="380B0222" w:rsidR="00D6381D" w:rsidRPr="00C82E85" w:rsidRDefault="00D6381D" w:rsidP="00D6381D">
      <w:pPr>
        <w:autoSpaceDE w:val="0"/>
        <w:autoSpaceDN w:val="0"/>
        <w:adjustRightInd w:val="0"/>
        <w:jc w:val="both"/>
        <w:rPr>
          <w:rFonts w:ascii="Verdana" w:hAnsi="Verdana" w:cs="Times New Roman"/>
        </w:rPr>
      </w:pPr>
      <w:r w:rsidRPr="00C82E85">
        <w:rPr>
          <w:rFonts w:ascii="Verdana" w:hAnsi="Verdana" w:cs="Times New Roman"/>
        </w:rPr>
        <w:t>83720 TRANS-EN-PROVENCE</w:t>
      </w:r>
    </w:p>
    <w:p w14:paraId="195DA84C" w14:textId="5087F844" w:rsidR="00D6381D" w:rsidRPr="00C82E85" w:rsidRDefault="00D6381D" w:rsidP="00D6381D">
      <w:pPr>
        <w:autoSpaceDE w:val="0"/>
        <w:autoSpaceDN w:val="0"/>
        <w:adjustRightInd w:val="0"/>
        <w:jc w:val="both"/>
        <w:rPr>
          <w:rFonts w:ascii="Verdana" w:hAnsi="Verdana" w:cs="Times New Roman"/>
        </w:rPr>
      </w:pPr>
      <w:r w:rsidRPr="00C82E85">
        <w:rPr>
          <w:rFonts w:ascii="Verdana" w:hAnsi="Verdana" w:cs="Times New Roman"/>
        </w:rPr>
        <w:t>Tél : 04.98.10.43.24</w:t>
      </w:r>
    </w:p>
    <w:p w14:paraId="0B4C2851" w14:textId="683CBABB" w:rsidR="00D6381D" w:rsidRPr="00C82E85" w:rsidRDefault="00D6381D" w:rsidP="00D6381D">
      <w:pPr>
        <w:autoSpaceDE w:val="0"/>
        <w:autoSpaceDN w:val="0"/>
        <w:adjustRightInd w:val="0"/>
        <w:jc w:val="both"/>
        <w:rPr>
          <w:rFonts w:ascii="Verdana" w:hAnsi="Verdana" w:cs="Times New Roman"/>
        </w:rPr>
      </w:pPr>
      <w:r w:rsidRPr="00C82E85">
        <w:rPr>
          <w:rFonts w:ascii="Verdana" w:hAnsi="Verdana" w:cs="Times New Roman"/>
        </w:rPr>
        <w:t xml:space="preserve">Mail : </w:t>
      </w:r>
      <w:hyperlink r:id="rId9" w:history="1">
        <w:r w:rsidRPr="00C82E85">
          <w:rPr>
            <w:rStyle w:val="Lienhypertexte"/>
            <w:rFonts w:ascii="Verdana" w:hAnsi="Verdana" w:cs="Times New Roman"/>
          </w:rPr>
          <w:t>marche.public@transenprovence.fr</w:t>
        </w:r>
      </w:hyperlink>
      <w:r w:rsidRPr="00C82E85">
        <w:rPr>
          <w:rFonts w:ascii="Verdana" w:hAnsi="Verdana" w:cs="Times New Roman"/>
        </w:rPr>
        <w:t xml:space="preserve"> </w:t>
      </w:r>
    </w:p>
    <w:p w14:paraId="5BFC9016" w14:textId="77777777" w:rsidR="00D6381D" w:rsidRPr="00C82E85" w:rsidRDefault="00D6381D" w:rsidP="00D6381D">
      <w:pPr>
        <w:autoSpaceDE w:val="0"/>
        <w:autoSpaceDN w:val="0"/>
        <w:adjustRightInd w:val="0"/>
        <w:jc w:val="both"/>
        <w:rPr>
          <w:rFonts w:ascii="Verdana" w:hAnsi="Verdana" w:cs="Times New Roman"/>
        </w:rPr>
      </w:pPr>
      <w:r w:rsidRPr="00C82E85">
        <w:rPr>
          <w:rFonts w:ascii="Verdana" w:hAnsi="Verdana" w:cs="Times New Roman"/>
        </w:rPr>
        <w:t>Profil d’acheteur : htpps://marches-securises.fr</w:t>
      </w:r>
    </w:p>
    <w:p w14:paraId="79C868A3" w14:textId="77777777" w:rsidR="00D6381D" w:rsidRPr="00C82E85" w:rsidRDefault="00D6381D" w:rsidP="00D6381D">
      <w:pPr>
        <w:autoSpaceDE w:val="0"/>
        <w:autoSpaceDN w:val="0"/>
        <w:adjustRightInd w:val="0"/>
        <w:jc w:val="both"/>
        <w:rPr>
          <w:rFonts w:ascii="Verdana" w:hAnsi="Verdana" w:cs="Times New Roman"/>
        </w:rPr>
      </w:pPr>
    </w:p>
    <w:p w14:paraId="7CD47AEA" w14:textId="674A141A" w:rsidR="00D6381D" w:rsidRPr="00C82E85" w:rsidRDefault="00D6381D" w:rsidP="00D6381D">
      <w:pPr>
        <w:autoSpaceDE w:val="0"/>
        <w:autoSpaceDN w:val="0"/>
        <w:adjustRightInd w:val="0"/>
        <w:jc w:val="both"/>
        <w:rPr>
          <w:rFonts w:ascii="Verdana" w:hAnsi="Verdana" w:cs="Times New Roman"/>
          <w:b/>
          <w:bCs/>
          <w:sz w:val="24"/>
          <w:szCs w:val="24"/>
          <w:u w:val="single"/>
        </w:rPr>
      </w:pPr>
      <w:r w:rsidRPr="00C82E85">
        <w:rPr>
          <w:rFonts w:ascii="Verdana" w:hAnsi="Verdana" w:cs="Times New Roman"/>
          <w:b/>
          <w:bCs/>
          <w:sz w:val="24"/>
          <w:szCs w:val="24"/>
          <w:u w:val="single"/>
        </w:rPr>
        <w:t xml:space="preserve">2 – OBJET DE LA CONSULTATION ET DISPOSITIONS GÉNÉRALES </w:t>
      </w:r>
    </w:p>
    <w:p w14:paraId="1FF2289A" w14:textId="280C58CA" w:rsidR="00D6381D" w:rsidRPr="00C82E85" w:rsidRDefault="00D6381D" w:rsidP="00D6381D">
      <w:pPr>
        <w:autoSpaceDE w:val="0"/>
        <w:autoSpaceDN w:val="0"/>
        <w:adjustRightInd w:val="0"/>
        <w:jc w:val="both"/>
        <w:rPr>
          <w:rFonts w:ascii="Verdana" w:hAnsi="Verdana" w:cs="Times New Roman"/>
          <w:b/>
          <w:bCs/>
          <w:u w:val="single"/>
        </w:rPr>
      </w:pPr>
    </w:p>
    <w:p w14:paraId="7CB703BD" w14:textId="5EF0D80D" w:rsidR="00D6381D" w:rsidRPr="00C82E85" w:rsidRDefault="00D6381D" w:rsidP="00D6381D">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2.1 – Objet du marché</w:t>
      </w:r>
    </w:p>
    <w:p w14:paraId="589D5CD6" w14:textId="27FF7016" w:rsidR="00D6381D" w:rsidRPr="00C82E85" w:rsidRDefault="00D6381D" w:rsidP="00D6381D">
      <w:pPr>
        <w:autoSpaceDE w:val="0"/>
        <w:autoSpaceDN w:val="0"/>
        <w:adjustRightInd w:val="0"/>
        <w:jc w:val="both"/>
        <w:rPr>
          <w:rFonts w:ascii="Verdana" w:hAnsi="Verdana" w:cs="Times New Roman"/>
          <w:u w:val="single"/>
        </w:rPr>
      </w:pPr>
    </w:p>
    <w:p w14:paraId="0D7BB684" w14:textId="20F7E6A2" w:rsidR="00D6381D" w:rsidRPr="00C82E85" w:rsidRDefault="00D6381D" w:rsidP="00D6381D">
      <w:pPr>
        <w:autoSpaceDE w:val="0"/>
        <w:autoSpaceDN w:val="0"/>
        <w:adjustRightInd w:val="0"/>
        <w:jc w:val="both"/>
        <w:rPr>
          <w:rFonts w:ascii="Verdana" w:hAnsi="Verdana" w:cs="Times New Roman"/>
        </w:rPr>
      </w:pPr>
      <w:r w:rsidRPr="00C82E85">
        <w:rPr>
          <w:rFonts w:ascii="Verdana" w:hAnsi="Verdana" w:cs="Times New Roman"/>
        </w:rPr>
        <w:t xml:space="preserve">La présente consultation est lancée par la </w:t>
      </w:r>
      <w:r w:rsidR="00533990">
        <w:rPr>
          <w:rFonts w:ascii="Verdana" w:hAnsi="Verdana" w:cs="Times New Roman"/>
        </w:rPr>
        <w:t>M</w:t>
      </w:r>
      <w:r w:rsidRPr="00C82E85">
        <w:rPr>
          <w:rFonts w:ascii="Verdana" w:hAnsi="Verdana" w:cs="Times New Roman"/>
        </w:rPr>
        <w:t>airie de Trans-en-Provence et concerne des prestations de fourniture de titres restaurants dématérialisés pour les agents de la Commune et du CCAS.</w:t>
      </w:r>
    </w:p>
    <w:p w14:paraId="4B5EEFBB" w14:textId="141FA716" w:rsidR="00D6381D" w:rsidRPr="00C82E85" w:rsidRDefault="00D6381D" w:rsidP="00D6381D">
      <w:pPr>
        <w:autoSpaceDE w:val="0"/>
        <w:autoSpaceDN w:val="0"/>
        <w:adjustRightInd w:val="0"/>
        <w:jc w:val="both"/>
        <w:rPr>
          <w:rFonts w:ascii="Verdana" w:hAnsi="Verdana" w:cs="Times New Roman"/>
        </w:rPr>
      </w:pPr>
    </w:p>
    <w:p w14:paraId="1D59BBC7" w14:textId="0188BAC5" w:rsidR="00D6381D" w:rsidRPr="00C82E85" w:rsidRDefault="00D6381D" w:rsidP="00D6381D">
      <w:pPr>
        <w:autoSpaceDE w:val="0"/>
        <w:autoSpaceDN w:val="0"/>
        <w:adjustRightInd w:val="0"/>
        <w:jc w:val="both"/>
        <w:rPr>
          <w:rFonts w:ascii="Verdana" w:hAnsi="Verdana" w:cs="Times New Roman"/>
        </w:rPr>
      </w:pPr>
      <w:r w:rsidRPr="00C82E85">
        <w:rPr>
          <w:rFonts w:ascii="Verdana" w:hAnsi="Verdana" w:cs="Times New Roman"/>
        </w:rPr>
        <w:t>Le nombre de personne</w:t>
      </w:r>
      <w:r w:rsidR="00A81B91">
        <w:rPr>
          <w:rFonts w:ascii="Verdana" w:hAnsi="Verdana" w:cs="Times New Roman"/>
        </w:rPr>
        <w:t xml:space="preserve">, </w:t>
      </w:r>
      <w:r w:rsidRPr="00C82E85">
        <w:rPr>
          <w:rFonts w:ascii="Verdana" w:hAnsi="Verdana" w:cs="Times New Roman"/>
        </w:rPr>
        <w:t>qui bénéficiera de titres à valeur faciale de 6 €</w:t>
      </w:r>
      <w:r w:rsidR="00A81B91">
        <w:rPr>
          <w:rFonts w:ascii="Verdana" w:hAnsi="Verdana" w:cs="Times New Roman"/>
        </w:rPr>
        <w:t xml:space="preserve">, </w:t>
      </w:r>
      <w:r w:rsidR="00A81B91" w:rsidRPr="00C82E85">
        <w:rPr>
          <w:rFonts w:ascii="Verdana" w:hAnsi="Verdana" w:cs="Times New Roman"/>
        </w:rPr>
        <w:t>est d’environ de 100 (</w:t>
      </w:r>
      <w:r w:rsidR="00A81B91">
        <w:rPr>
          <w:rFonts w:ascii="Verdana" w:hAnsi="Verdana" w:cs="Times New Roman"/>
        </w:rPr>
        <w:t>Juillet 2024</w:t>
      </w:r>
      <w:r w:rsidR="00A81B91" w:rsidRPr="00C82E85">
        <w:rPr>
          <w:rFonts w:ascii="Verdana" w:hAnsi="Verdana" w:cs="Times New Roman"/>
        </w:rPr>
        <w:t>)</w:t>
      </w:r>
    </w:p>
    <w:p w14:paraId="40AE1023" w14:textId="70ADE002" w:rsidR="00D6381D" w:rsidRPr="00C82E85" w:rsidRDefault="00D6381D" w:rsidP="00D6381D">
      <w:pPr>
        <w:autoSpaceDE w:val="0"/>
        <w:autoSpaceDN w:val="0"/>
        <w:adjustRightInd w:val="0"/>
        <w:jc w:val="both"/>
        <w:rPr>
          <w:rFonts w:ascii="Verdana" w:hAnsi="Verdana" w:cs="Times New Roman"/>
        </w:rPr>
      </w:pPr>
    </w:p>
    <w:p w14:paraId="5977B000" w14:textId="5FA7D2D4" w:rsidR="00D6381D" w:rsidRPr="00C82E85" w:rsidRDefault="00D6381D" w:rsidP="00D6381D">
      <w:pPr>
        <w:autoSpaceDE w:val="0"/>
        <w:autoSpaceDN w:val="0"/>
        <w:adjustRightInd w:val="0"/>
        <w:jc w:val="both"/>
        <w:rPr>
          <w:rFonts w:ascii="Verdana" w:hAnsi="Verdana" w:cs="Times New Roman"/>
        </w:rPr>
      </w:pPr>
    </w:p>
    <w:p w14:paraId="444FFF42" w14:textId="48CD4018" w:rsidR="00D6381D" w:rsidRPr="00C82E85" w:rsidRDefault="00D6381D" w:rsidP="00D6381D">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2.2 – Type de marché et de procédure</w:t>
      </w:r>
    </w:p>
    <w:p w14:paraId="0520A872" w14:textId="50EADB14" w:rsidR="00D6381D" w:rsidRPr="00C82E85" w:rsidRDefault="00D6381D" w:rsidP="00D6381D">
      <w:pPr>
        <w:autoSpaceDE w:val="0"/>
        <w:autoSpaceDN w:val="0"/>
        <w:adjustRightInd w:val="0"/>
        <w:jc w:val="both"/>
        <w:rPr>
          <w:rFonts w:ascii="Verdana" w:hAnsi="Verdana" w:cs="Times New Roman"/>
          <w:u w:val="single"/>
        </w:rPr>
      </w:pPr>
    </w:p>
    <w:p w14:paraId="71990781" w14:textId="286DA90A" w:rsidR="00A06A3E" w:rsidRPr="00C82E85" w:rsidRDefault="00A06A3E" w:rsidP="00D6381D">
      <w:pPr>
        <w:autoSpaceDE w:val="0"/>
        <w:autoSpaceDN w:val="0"/>
        <w:adjustRightInd w:val="0"/>
        <w:jc w:val="both"/>
        <w:rPr>
          <w:rFonts w:ascii="Verdana" w:hAnsi="Verdana" w:cs="Times New Roman"/>
        </w:rPr>
      </w:pPr>
      <w:r w:rsidRPr="00C82E85">
        <w:rPr>
          <w:rFonts w:ascii="Verdana" w:hAnsi="Verdana" w:cs="Times New Roman"/>
        </w:rPr>
        <w:t>Le marché est lancé suivant la procédure adaptée, conformément aux dispositions de l’article L2123-1 du Code de la Commande Publique.</w:t>
      </w:r>
    </w:p>
    <w:p w14:paraId="23BB6095" w14:textId="77777777" w:rsidR="00A06A3E" w:rsidRPr="00C82E85" w:rsidRDefault="00A06A3E" w:rsidP="00D6381D">
      <w:pPr>
        <w:autoSpaceDE w:val="0"/>
        <w:autoSpaceDN w:val="0"/>
        <w:adjustRightInd w:val="0"/>
        <w:jc w:val="both"/>
        <w:rPr>
          <w:rFonts w:ascii="Verdana" w:hAnsi="Verdana" w:cs="Times New Roman"/>
        </w:rPr>
      </w:pPr>
    </w:p>
    <w:p w14:paraId="5CE37AE9" w14:textId="2A72EC11" w:rsidR="00D6381D" w:rsidRPr="00C82E85" w:rsidRDefault="00D6381D" w:rsidP="00D6381D">
      <w:pPr>
        <w:autoSpaceDE w:val="0"/>
        <w:autoSpaceDN w:val="0"/>
        <w:adjustRightInd w:val="0"/>
        <w:jc w:val="both"/>
        <w:rPr>
          <w:rFonts w:ascii="Verdana" w:hAnsi="Verdana" w:cs="Times New Roman"/>
        </w:rPr>
      </w:pPr>
      <w:r w:rsidRPr="00C82E85">
        <w:rPr>
          <w:rFonts w:ascii="Verdana" w:hAnsi="Verdana" w:cs="Times New Roman"/>
        </w:rPr>
        <w:t xml:space="preserve">La présente consultation </w:t>
      </w:r>
      <w:r w:rsidR="00A06A3E" w:rsidRPr="00C82E85">
        <w:rPr>
          <w:rFonts w:ascii="Verdana" w:hAnsi="Verdana" w:cs="Times New Roman"/>
        </w:rPr>
        <w:t xml:space="preserve">donnera lieu à </w:t>
      </w:r>
      <w:r w:rsidRPr="00C82E85">
        <w:rPr>
          <w:rFonts w:ascii="Verdana" w:hAnsi="Verdana" w:cs="Times New Roman"/>
        </w:rPr>
        <w:t xml:space="preserve">un accord-cadre </w:t>
      </w:r>
      <w:r w:rsidR="00A06A3E" w:rsidRPr="00C82E85">
        <w:rPr>
          <w:rFonts w:ascii="Verdana" w:hAnsi="Verdana" w:cs="Times New Roman"/>
        </w:rPr>
        <w:t xml:space="preserve">mono-attributaire (conclu avec un seul opérateur économique) </w:t>
      </w:r>
      <w:r w:rsidRPr="00C82E85">
        <w:rPr>
          <w:rFonts w:ascii="Verdana" w:hAnsi="Verdana" w:cs="Times New Roman"/>
        </w:rPr>
        <w:t>à bons de commande</w:t>
      </w:r>
      <w:r w:rsidR="00A06A3E" w:rsidRPr="00C82E85">
        <w:rPr>
          <w:rFonts w:ascii="Verdana" w:hAnsi="Verdana" w:cs="Times New Roman"/>
        </w:rPr>
        <w:t xml:space="preserve">, </w:t>
      </w:r>
      <w:r w:rsidR="007B1488" w:rsidRPr="00C82E85">
        <w:rPr>
          <w:rFonts w:ascii="Verdana" w:hAnsi="Verdana" w:cs="Times New Roman"/>
        </w:rPr>
        <w:t>avec un</w:t>
      </w:r>
      <w:r w:rsidR="00A06A3E" w:rsidRPr="00C82E85">
        <w:rPr>
          <w:rFonts w:ascii="Verdana" w:hAnsi="Verdana" w:cs="Times New Roman"/>
        </w:rPr>
        <w:t xml:space="preserve"> minimum </w:t>
      </w:r>
      <w:r w:rsidR="007B1488" w:rsidRPr="00C82E85">
        <w:rPr>
          <w:rFonts w:ascii="Verdana" w:hAnsi="Verdana" w:cs="Times New Roman"/>
        </w:rPr>
        <w:t>et un</w:t>
      </w:r>
      <w:r w:rsidR="00A06A3E" w:rsidRPr="00C82E85">
        <w:rPr>
          <w:rFonts w:ascii="Verdana" w:hAnsi="Verdana" w:cs="Times New Roman"/>
        </w:rPr>
        <w:t xml:space="preserve"> maximum, en application des articles R2162-1 à R2162-6, R2162-13 et R2162-14 du Code de la Commande Publique. </w:t>
      </w:r>
    </w:p>
    <w:p w14:paraId="56BB4F8F" w14:textId="6AE7F278" w:rsidR="00A06A3E" w:rsidRPr="00C82E85" w:rsidRDefault="00A06A3E" w:rsidP="00D6381D">
      <w:pPr>
        <w:autoSpaceDE w:val="0"/>
        <w:autoSpaceDN w:val="0"/>
        <w:adjustRightInd w:val="0"/>
        <w:jc w:val="both"/>
        <w:rPr>
          <w:rFonts w:ascii="Verdana" w:hAnsi="Verdana" w:cs="Times New Roman"/>
        </w:rPr>
      </w:pPr>
    </w:p>
    <w:p w14:paraId="5F4DD769" w14:textId="4B212EEE" w:rsidR="00A06A3E" w:rsidRPr="00C82E85" w:rsidRDefault="00A06A3E" w:rsidP="00D6381D">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2.3 – Durée du marché</w:t>
      </w:r>
    </w:p>
    <w:p w14:paraId="53123787" w14:textId="7CE9126D" w:rsidR="00A06A3E" w:rsidRPr="00C82E85" w:rsidRDefault="00A06A3E" w:rsidP="00D6381D">
      <w:pPr>
        <w:autoSpaceDE w:val="0"/>
        <w:autoSpaceDN w:val="0"/>
        <w:adjustRightInd w:val="0"/>
        <w:jc w:val="both"/>
        <w:rPr>
          <w:rFonts w:ascii="Verdana" w:hAnsi="Verdana" w:cs="Times New Roman"/>
          <w:u w:val="single"/>
        </w:rPr>
      </w:pPr>
    </w:p>
    <w:p w14:paraId="1474DE61" w14:textId="07B3A430" w:rsidR="00A06A3E" w:rsidRPr="00C82E85" w:rsidRDefault="00A06A3E" w:rsidP="00D6381D">
      <w:pPr>
        <w:autoSpaceDE w:val="0"/>
        <w:autoSpaceDN w:val="0"/>
        <w:adjustRightInd w:val="0"/>
        <w:jc w:val="both"/>
        <w:rPr>
          <w:rFonts w:ascii="Verdana" w:hAnsi="Verdana" w:cs="Times New Roman"/>
        </w:rPr>
      </w:pPr>
      <w:r w:rsidRPr="00C82E85">
        <w:rPr>
          <w:rFonts w:ascii="Verdana" w:hAnsi="Verdana" w:cs="Times New Roman"/>
        </w:rPr>
        <w:t>L’accord-cadre est passé pour une durée d</w:t>
      </w:r>
      <w:r w:rsidR="00717731" w:rsidRPr="00C82E85">
        <w:rPr>
          <w:rFonts w:ascii="Verdana" w:hAnsi="Verdana" w:cs="Times New Roman"/>
        </w:rPr>
        <w:t>’</w:t>
      </w:r>
      <w:r w:rsidRPr="00C82E85">
        <w:rPr>
          <w:rFonts w:ascii="Verdana" w:hAnsi="Verdana" w:cs="Times New Roman"/>
        </w:rPr>
        <w:t>un (1) an</w:t>
      </w:r>
      <w:r w:rsidR="001C55E8" w:rsidRPr="00C82E85">
        <w:rPr>
          <w:rFonts w:ascii="Verdana" w:hAnsi="Verdana" w:cs="Times New Roman"/>
        </w:rPr>
        <w:t xml:space="preserve"> à compter du 1</w:t>
      </w:r>
      <w:r w:rsidR="001C55E8" w:rsidRPr="00C82E85">
        <w:rPr>
          <w:rFonts w:ascii="Verdana" w:hAnsi="Verdana" w:cs="Times New Roman"/>
          <w:vertAlign w:val="superscript"/>
        </w:rPr>
        <w:t>er</w:t>
      </w:r>
      <w:r w:rsidR="001C55E8" w:rsidRPr="00C82E85">
        <w:rPr>
          <w:rFonts w:ascii="Verdana" w:hAnsi="Verdana" w:cs="Times New Roman"/>
        </w:rPr>
        <w:t xml:space="preserve"> janvier 202</w:t>
      </w:r>
      <w:r w:rsidR="00565F9E">
        <w:rPr>
          <w:rFonts w:ascii="Verdana" w:hAnsi="Verdana" w:cs="Times New Roman"/>
        </w:rPr>
        <w:t>5</w:t>
      </w:r>
      <w:r w:rsidR="009D3988" w:rsidRPr="00C82E85">
        <w:rPr>
          <w:rFonts w:ascii="Verdana" w:hAnsi="Verdana" w:cs="Times New Roman"/>
        </w:rPr>
        <w:t xml:space="preserve">. Il est reconductible tacitement pour </w:t>
      </w:r>
      <w:r w:rsidR="007B1488" w:rsidRPr="00C82E85">
        <w:rPr>
          <w:rFonts w:ascii="Verdana" w:hAnsi="Verdana" w:cs="Times New Roman"/>
        </w:rPr>
        <w:t>une</w:t>
      </w:r>
      <w:r w:rsidR="009D3988" w:rsidRPr="00C82E85">
        <w:rPr>
          <w:rFonts w:ascii="Verdana" w:hAnsi="Verdana" w:cs="Times New Roman"/>
        </w:rPr>
        <w:t xml:space="preserve"> (</w:t>
      </w:r>
      <w:r w:rsidR="007B1488" w:rsidRPr="00C82E85">
        <w:rPr>
          <w:rFonts w:ascii="Verdana" w:hAnsi="Verdana" w:cs="Times New Roman"/>
        </w:rPr>
        <w:t>1</w:t>
      </w:r>
      <w:r w:rsidR="009D3988" w:rsidRPr="00C82E85">
        <w:rPr>
          <w:rFonts w:ascii="Verdana" w:hAnsi="Verdana" w:cs="Times New Roman"/>
        </w:rPr>
        <w:t>) période d</w:t>
      </w:r>
      <w:r w:rsidR="00717731" w:rsidRPr="00C82E85">
        <w:rPr>
          <w:rFonts w:ascii="Verdana" w:hAnsi="Verdana" w:cs="Times New Roman"/>
        </w:rPr>
        <w:t>’</w:t>
      </w:r>
      <w:r w:rsidR="009D3988" w:rsidRPr="00C82E85">
        <w:rPr>
          <w:rFonts w:ascii="Verdana" w:hAnsi="Verdana" w:cs="Times New Roman"/>
        </w:rPr>
        <w:t>un (1) an et pour une durée maximale de (</w:t>
      </w:r>
      <w:r w:rsidR="007B1488" w:rsidRPr="00C82E85">
        <w:rPr>
          <w:rFonts w:ascii="Verdana" w:hAnsi="Verdana" w:cs="Times New Roman"/>
        </w:rPr>
        <w:t>2</w:t>
      </w:r>
      <w:r w:rsidR="009D3988" w:rsidRPr="00C82E85">
        <w:rPr>
          <w:rFonts w:ascii="Verdana" w:hAnsi="Verdana" w:cs="Times New Roman"/>
        </w:rPr>
        <w:t>) ans. Le titulaire ne peut pas refuser la reconduction.</w:t>
      </w:r>
    </w:p>
    <w:p w14:paraId="54FF1F27" w14:textId="77777777" w:rsidR="009D3988" w:rsidRPr="00C82E85" w:rsidRDefault="009D3988" w:rsidP="00D6381D">
      <w:pPr>
        <w:autoSpaceDE w:val="0"/>
        <w:autoSpaceDN w:val="0"/>
        <w:adjustRightInd w:val="0"/>
        <w:jc w:val="both"/>
        <w:rPr>
          <w:rFonts w:ascii="Verdana" w:hAnsi="Verdana" w:cs="Times New Roman"/>
        </w:rPr>
      </w:pPr>
    </w:p>
    <w:p w14:paraId="4F9F61CC" w14:textId="48C3F237" w:rsidR="009D3988" w:rsidRPr="00C82E85" w:rsidRDefault="009D3988" w:rsidP="00D6381D">
      <w:pPr>
        <w:autoSpaceDE w:val="0"/>
        <w:autoSpaceDN w:val="0"/>
        <w:adjustRightInd w:val="0"/>
        <w:jc w:val="both"/>
        <w:rPr>
          <w:rFonts w:ascii="Verdana" w:hAnsi="Verdana" w:cs="Times New Roman"/>
        </w:rPr>
      </w:pPr>
      <w:r w:rsidRPr="00C82E85">
        <w:rPr>
          <w:rFonts w:ascii="Verdana" w:hAnsi="Verdana" w:cs="Times New Roman"/>
        </w:rPr>
        <w:t>En cas de non</w:t>
      </w:r>
      <w:r w:rsidR="00020782" w:rsidRPr="00C82E85">
        <w:rPr>
          <w:rFonts w:ascii="Verdana" w:hAnsi="Verdana" w:cs="Times New Roman"/>
        </w:rPr>
        <w:t>-</w:t>
      </w:r>
      <w:r w:rsidRPr="00C82E85">
        <w:rPr>
          <w:rFonts w:ascii="Verdana" w:hAnsi="Verdana" w:cs="Times New Roman"/>
        </w:rPr>
        <w:t>reconduction, le pouvoir adjudicateur notifie au titulaire la décision de non</w:t>
      </w:r>
      <w:r w:rsidR="00020782" w:rsidRPr="00C82E85">
        <w:rPr>
          <w:rFonts w:ascii="Verdana" w:hAnsi="Verdana" w:cs="Times New Roman"/>
        </w:rPr>
        <w:t>-</w:t>
      </w:r>
      <w:r w:rsidRPr="00C82E85">
        <w:rPr>
          <w:rFonts w:ascii="Verdana" w:hAnsi="Verdana" w:cs="Times New Roman"/>
        </w:rPr>
        <w:t>reconduction 3 mois avant la fin de la durée de l’accord-cadre. La non</w:t>
      </w:r>
      <w:r w:rsidR="00020782" w:rsidRPr="00C82E85">
        <w:rPr>
          <w:rFonts w:ascii="Verdana" w:hAnsi="Verdana" w:cs="Times New Roman"/>
        </w:rPr>
        <w:t>-</w:t>
      </w:r>
      <w:r w:rsidRPr="00C82E85">
        <w:rPr>
          <w:rFonts w:ascii="Verdana" w:hAnsi="Verdana" w:cs="Times New Roman"/>
        </w:rPr>
        <w:t>reconduction ne donnera aucunement lieu au versement d’indemnité. Dans ce</w:t>
      </w:r>
      <w:r w:rsidR="00020782" w:rsidRPr="00C82E85">
        <w:rPr>
          <w:rFonts w:ascii="Verdana" w:hAnsi="Verdana" w:cs="Times New Roman"/>
        </w:rPr>
        <w:t xml:space="preserve"> </w:t>
      </w:r>
      <w:r w:rsidRPr="00C82E85">
        <w:rPr>
          <w:rFonts w:ascii="Verdana" w:hAnsi="Verdana" w:cs="Times New Roman"/>
        </w:rPr>
        <w:t>cas, le titulaire reste cependant engagé jusqu’à la fin de la période en cours.</w:t>
      </w:r>
    </w:p>
    <w:p w14:paraId="1C73CBA3" w14:textId="2157EA42" w:rsidR="00D70FEE" w:rsidRPr="00C82E85" w:rsidRDefault="00D70FEE" w:rsidP="00D6381D">
      <w:pPr>
        <w:autoSpaceDE w:val="0"/>
        <w:autoSpaceDN w:val="0"/>
        <w:adjustRightInd w:val="0"/>
        <w:jc w:val="both"/>
        <w:rPr>
          <w:rFonts w:ascii="Verdana" w:hAnsi="Verdana" w:cs="Times New Roman"/>
        </w:rPr>
      </w:pPr>
    </w:p>
    <w:p w14:paraId="44C2A8BD" w14:textId="5FFCFD5F" w:rsidR="00D70FEE" w:rsidRPr="00C82E85" w:rsidRDefault="00D70FEE" w:rsidP="00D6381D">
      <w:pPr>
        <w:autoSpaceDE w:val="0"/>
        <w:autoSpaceDN w:val="0"/>
        <w:adjustRightInd w:val="0"/>
        <w:jc w:val="both"/>
        <w:rPr>
          <w:rFonts w:ascii="Verdana" w:hAnsi="Verdana" w:cs="Times New Roman"/>
          <w:u w:val="single"/>
        </w:rPr>
      </w:pPr>
      <w:r w:rsidRPr="00C82E85">
        <w:rPr>
          <w:rFonts w:ascii="Verdana" w:hAnsi="Verdana" w:cs="Times New Roman"/>
        </w:rPr>
        <w:tab/>
      </w:r>
      <w:r w:rsidR="00717731" w:rsidRPr="00C82E85">
        <w:rPr>
          <w:rFonts w:ascii="Verdana" w:hAnsi="Verdana" w:cs="Times New Roman"/>
          <w:u w:val="single"/>
        </w:rPr>
        <w:t>2.4</w:t>
      </w:r>
      <w:r w:rsidRPr="00C82E85">
        <w:rPr>
          <w:rFonts w:ascii="Verdana" w:hAnsi="Verdana" w:cs="Times New Roman"/>
          <w:u w:val="single"/>
        </w:rPr>
        <w:t xml:space="preserve"> – Montant du marché</w:t>
      </w:r>
    </w:p>
    <w:p w14:paraId="43D5C467" w14:textId="50623786" w:rsidR="00A06A3E" w:rsidRPr="00C82E85" w:rsidRDefault="00A06A3E" w:rsidP="00D6381D">
      <w:pPr>
        <w:autoSpaceDE w:val="0"/>
        <w:autoSpaceDN w:val="0"/>
        <w:adjustRightInd w:val="0"/>
        <w:jc w:val="both"/>
        <w:rPr>
          <w:rFonts w:ascii="Verdana" w:hAnsi="Verdana" w:cs="Times New Roman"/>
          <w:u w:val="single"/>
        </w:rPr>
      </w:pPr>
    </w:p>
    <w:p w14:paraId="75A776B3" w14:textId="693E477C" w:rsidR="00A06A3E" w:rsidRPr="00A81B91" w:rsidRDefault="00D70FEE" w:rsidP="00D6381D">
      <w:pPr>
        <w:autoSpaceDE w:val="0"/>
        <w:autoSpaceDN w:val="0"/>
        <w:adjustRightInd w:val="0"/>
        <w:jc w:val="both"/>
        <w:rPr>
          <w:rFonts w:ascii="Verdana" w:hAnsi="Verdana" w:cs="Times New Roman"/>
        </w:rPr>
      </w:pPr>
      <w:r w:rsidRPr="00C82E85">
        <w:rPr>
          <w:rFonts w:ascii="Verdana" w:hAnsi="Verdana" w:cs="Times New Roman"/>
        </w:rPr>
        <w:t>Il s’agit d’un accord-cadre à bons de commande de fourniture et comprenant un montant maximum soumis aux dispositions des articles R2162-4</w:t>
      </w:r>
      <w:r w:rsidR="00020782" w:rsidRPr="00C82E85">
        <w:rPr>
          <w:rFonts w:ascii="Verdana" w:hAnsi="Verdana" w:cs="Times New Roman"/>
        </w:rPr>
        <w:t xml:space="preserve"> du Code de la Commande Publique</w:t>
      </w:r>
      <w:r w:rsidR="00EE2A16" w:rsidRPr="00C82E85">
        <w:rPr>
          <w:rFonts w:ascii="Verdana" w:hAnsi="Verdana" w:cs="Times New Roman"/>
        </w:rPr>
        <w:t>.</w:t>
      </w:r>
    </w:p>
    <w:tbl>
      <w:tblPr>
        <w:tblStyle w:val="Grilledutableau"/>
        <w:tblW w:w="0" w:type="auto"/>
        <w:jc w:val="center"/>
        <w:tblLook w:val="04A0" w:firstRow="1" w:lastRow="0" w:firstColumn="1" w:lastColumn="0" w:noHBand="0" w:noVBand="1"/>
      </w:tblPr>
      <w:tblGrid>
        <w:gridCol w:w="4606"/>
      </w:tblGrid>
      <w:tr w:rsidR="00EE2A16" w:rsidRPr="00C82E85" w14:paraId="480D91F7" w14:textId="77777777" w:rsidTr="004537A1">
        <w:trPr>
          <w:jc w:val="center"/>
        </w:trPr>
        <w:tc>
          <w:tcPr>
            <w:tcW w:w="4606" w:type="dxa"/>
          </w:tcPr>
          <w:p w14:paraId="177A409D" w14:textId="5BC83994" w:rsidR="00EE2A16" w:rsidRPr="00C82E85" w:rsidRDefault="00EE2A16" w:rsidP="00EE2A16">
            <w:pPr>
              <w:autoSpaceDE w:val="0"/>
              <w:autoSpaceDN w:val="0"/>
              <w:adjustRightInd w:val="0"/>
              <w:jc w:val="center"/>
              <w:rPr>
                <w:rFonts w:ascii="Verdana" w:hAnsi="Verdana" w:cs="Times New Roman"/>
                <w:b/>
                <w:bCs/>
              </w:rPr>
            </w:pPr>
            <w:r w:rsidRPr="00C82E85">
              <w:rPr>
                <w:rFonts w:ascii="Verdana" w:hAnsi="Verdana" w:cs="Times New Roman"/>
                <w:b/>
                <w:bCs/>
              </w:rPr>
              <w:t>MONTANT ANNUEL</w:t>
            </w:r>
          </w:p>
        </w:tc>
      </w:tr>
      <w:tr w:rsidR="004537A1" w:rsidRPr="00C82E85" w14:paraId="6C6E079F" w14:textId="77777777" w:rsidTr="004537A1">
        <w:trPr>
          <w:jc w:val="center"/>
        </w:trPr>
        <w:tc>
          <w:tcPr>
            <w:tcW w:w="4606" w:type="dxa"/>
          </w:tcPr>
          <w:p w14:paraId="26B0EC82" w14:textId="5533B723" w:rsidR="004537A1" w:rsidRPr="00C82E85" w:rsidRDefault="004537A1" w:rsidP="00EE2A16">
            <w:pPr>
              <w:autoSpaceDE w:val="0"/>
              <w:autoSpaceDN w:val="0"/>
              <w:adjustRightInd w:val="0"/>
              <w:jc w:val="center"/>
              <w:rPr>
                <w:rFonts w:ascii="Verdana" w:hAnsi="Verdana" w:cs="Times New Roman"/>
                <w:b/>
                <w:bCs/>
              </w:rPr>
            </w:pPr>
            <w:r w:rsidRPr="00C82E85">
              <w:rPr>
                <w:rFonts w:ascii="Verdana" w:hAnsi="Verdana" w:cs="Times New Roman"/>
                <w:b/>
                <w:bCs/>
              </w:rPr>
              <w:t>Maximum</w:t>
            </w:r>
          </w:p>
        </w:tc>
      </w:tr>
      <w:tr w:rsidR="004537A1" w:rsidRPr="00C82E85" w14:paraId="2F1C5F63" w14:textId="77777777" w:rsidTr="004537A1">
        <w:trPr>
          <w:jc w:val="center"/>
        </w:trPr>
        <w:tc>
          <w:tcPr>
            <w:tcW w:w="4606" w:type="dxa"/>
          </w:tcPr>
          <w:p w14:paraId="04E06200" w14:textId="6D2F6515" w:rsidR="004537A1" w:rsidRPr="00C82E85" w:rsidRDefault="004537A1" w:rsidP="00EE2A16">
            <w:pPr>
              <w:autoSpaceDE w:val="0"/>
              <w:autoSpaceDN w:val="0"/>
              <w:adjustRightInd w:val="0"/>
              <w:jc w:val="center"/>
              <w:rPr>
                <w:rFonts w:ascii="Verdana" w:hAnsi="Verdana" w:cs="Times New Roman"/>
              </w:rPr>
            </w:pPr>
            <w:r w:rsidRPr="00C82E85">
              <w:rPr>
                <w:rFonts w:ascii="Verdana" w:hAnsi="Verdana" w:cs="Times New Roman"/>
              </w:rPr>
              <w:t>100 000 € HT</w:t>
            </w:r>
          </w:p>
        </w:tc>
      </w:tr>
    </w:tbl>
    <w:p w14:paraId="366C5D8F" w14:textId="2A3A9A53" w:rsidR="00A81B91" w:rsidRDefault="00A81B91" w:rsidP="00A81B91">
      <w:pPr>
        <w:tabs>
          <w:tab w:val="left" w:pos="708"/>
          <w:tab w:val="left" w:pos="1416"/>
          <w:tab w:val="left" w:pos="2124"/>
          <w:tab w:val="left" w:pos="2832"/>
          <w:tab w:val="left" w:pos="3540"/>
          <w:tab w:val="left" w:pos="4248"/>
          <w:tab w:val="left" w:pos="4956"/>
          <w:tab w:val="left" w:pos="8186"/>
        </w:tabs>
        <w:autoSpaceDE w:val="0"/>
        <w:autoSpaceDN w:val="0"/>
        <w:adjustRightInd w:val="0"/>
        <w:jc w:val="both"/>
        <w:rPr>
          <w:rFonts w:ascii="Verdana" w:hAnsi="Verdana" w:cs="Times New Roman"/>
        </w:rPr>
      </w:pPr>
    </w:p>
    <w:p w14:paraId="4142199A" w14:textId="764E059F" w:rsidR="00EE2A16" w:rsidRPr="00C82E85" w:rsidRDefault="00A81B91" w:rsidP="00A81B91">
      <w:pPr>
        <w:tabs>
          <w:tab w:val="left" w:pos="708"/>
          <w:tab w:val="left" w:pos="1416"/>
          <w:tab w:val="left" w:pos="2124"/>
          <w:tab w:val="left" w:pos="2832"/>
          <w:tab w:val="left" w:pos="3540"/>
          <w:tab w:val="left" w:pos="4248"/>
          <w:tab w:val="left" w:pos="4956"/>
          <w:tab w:val="left" w:pos="8186"/>
        </w:tabs>
        <w:autoSpaceDE w:val="0"/>
        <w:autoSpaceDN w:val="0"/>
        <w:adjustRightInd w:val="0"/>
        <w:jc w:val="both"/>
        <w:rPr>
          <w:rFonts w:ascii="Verdana" w:hAnsi="Verdana" w:cs="Times New Roman"/>
          <w:u w:val="single"/>
        </w:rPr>
      </w:pPr>
      <w:r>
        <w:rPr>
          <w:rFonts w:ascii="Verdana" w:hAnsi="Verdana" w:cs="Times New Roman"/>
        </w:rPr>
        <w:tab/>
      </w:r>
      <w:r w:rsidR="00717731" w:rsidRPr="00C82E85">
        <w:rPr>
          <w:rFonts w:ascii="Verdana" w:hAnsi="Verdana" w:cs="Times New Roman"/>
          <w:u w:val="single"/>
        </w:rPr>
        <w:t>2.5 – Décomposition en tranches et en lots</w:t>
      </w:r>
    </w:p>
    <w:p w14:paraId="0C3A440C" w14:textId="325132DD" w:rsidR="00717731" w:rsidRPr="00C82E85" w:rsidRDefault="00717731" w:rsidP="00D6381D">
      <w:pPr>
        <w:autoSpaceDE w:val="0"/>
        <w:autoSpaceDN w:val="0"/>
        <w:adjustRightInd w:val="0"/>
        <w:jc w:val="both"/>
        <w:rPr>
          <w:rFonts w:ascii="Verdana" w:hAnsi="Verdana" w:cs="Times New Roman"/>
          <w:u w:val="single"/>
        </w:rPr>
      </w:pPr>
    </w:p>
    <w:p w14:paraId="70190C18" w14:textId="28D177A4" w:rsidR="00717731" w:rsidRPr="00C82E85" w:rsidRDefault="00717731" w:rsidP="00D6381D">
      <w:pPr>
        <w:autoSpaceDE w:val="0"/>
        <w:autoSpaceDN w:val="0"/>
        <w:adjustRightInd w:val="0"/>
        <w:jc w:val="both"/>
        <w:rPr>
          <w:rFonts w:ascii="Verdana" w:hAnsi="Verdana" w:cs="Times New Roman"/>
        </w:rPr>
      </w:pPr>
      <w:r w:rsidRPr="00C82E85">
        <w:rPr>
          <w:rFonts w:ascii="Verdana" w:hAnsi="Verdana" w:cs="Times New Roman"/>
        </w:rPr>
        <w:t xml:space="preserve">En application de l’article R2113-3 du Code de la Commande Publique, le présent marché n’est pas alloti, et ne comporte </w:t>
      </w:r>
      <w:r w:rsidR="00DD62E8" w:rsidRPr="00C82E85">
        <w:rPr>
          <w:rFonts w:ascii="Verdana" w:hAnsi="Verdana" w:cs="Times New Roman"/>
        </w:rPr>
        <w:t>pas de tranche, les prestations n’étant pas distinctes.</w:t>
      </w:r>
    </w:p>
    <w:p w14:paraId="06E787D4" w14:textId="4A7F58ED" w:rsidR="00DD62E8" w:rsidRDefault="00DD62E8" w:rsidP="00D6381D">
      <w:pPr>
        <w:autoSpaceDE w:val="0"/>
        <w:autoSpaceDN w:val="0"/>
        <w:adjustRightInd w:val="0"/>
        <w:jc w:val="both"/>
        <w:rPr>
          <w:rFonts w:ascii="Verdana" w:hAnsi="Verdana" w:cs="Times New Roman"/>
        </w:rPr>
      </w:pPr>
    </w:p>
    <w:p w14:paraId="12835198" w14:textId="77777777" w:rsidR="00C82E85" w:rsidRPr="00C82E85" w:rsidRDefault="00C82E85" w:rsidP="00D6381D">
      <w:pPr>
        <w:autoSpaceDE w:val="0"/>
        <w:autoSpaceDN w:val="0"/>
        <w:adjustRightInd w:val="0"/>
        <w:jc w:val="both"/>
        <w:rPr>
          <w:rFonts w:ascii="Verdana" w:hAnsi="Verdana" w:cs="Times New Roman"/>
        </w:rPr>
      </w:pPr>
    </w:p>
    <w:p w14:paraId="263DD973" w14:textId="2FC694BF" w:rsidR="00DD62E8" w:rsidRPr="00C82E85" w:rsidRDefault="00DD62E8" w:rsidP="00D6381D">
      <w:pPr>
        <w:autoSpaceDE w:val="0"/>
        <w:autoSpaceDN w:val="0"/>
        <w:adjustRightInd w:val="0"/>
        <w:jc w:val="both"/>
        <w:rPr>
          <w:rFonts w:ascii="Verdana" w:hAnsi="Verdana" w:cs="Times New Roman"/>
          <w:u w:val="single"/>
        </w:rPr>
      </w:pPr>
      <w:r w:rsidRPr="00C82E85">
        <w:rPr>
          <w:rFonts w:ascii="Verdana" w:hAnsi="Verdana" w:cs="Times New Roman"/>
        </w:rPr>
        <w:lastRenderedPageBreak/>
        <w:tab/>
      </w:r>
      <w:r w:rsidRPr="00C82E85">
        <w:rPr>
          <w:rFonts w:ascii="Verdana" w:hAnsi="Verdana" w:cs="Times New Roman"/>
          <w:u w:val="single"/>
        </w:rPr>
        <w:t>2.6 – Variantes</w:t>
      </w:r>
    </w:p>
    <w:p w14:paraId="484D4C67" w14:textId="7045319C" w:rsidR="00DD62E8" w:rsidRPr="00C82E85" w:rsidRDefault="00DD62E8" w:rsidP="00D6381D">
      <w:pPr>
        <w:autoSpaceDE w:val="0"/>
        <w:autoSpaceDN w:val="0"/>
        <w:adjustRightInd w:val="0"/>
        <w:jc w:val="both"/>
        <w:rPr>
          <w:rFonts w:ascii="Verdana" w:hAnsi="Verdana" w:cs="Times New Roman"/>
          <w:u w:val="single"/>
        </w:rPr>
      </w:pPr>
    </w:p>
    <w:p w14:paraId="298D1FCA" w14:textId="19AAF453" w:rsidR="00DD62E8" w:rsidRPr="00C82E85" w:rsidRDefault="00DD62E8" w:rsidP="00D6381D">
      <w:pPr>
        <w:autoSpaceDE w:val="0"/>
        <w:autoSpaceDN w:val="0"/>
        <w:adjustRightInd w:val="0"/>
        <w:jc w:val="both"/>
        <w:rPr>
          <w:rFonts w:ascii="Verdana" w:hAnsi="Verdana" w:cs="Times New Roman"/>
        </w:rPr>
      </w:pPr>
      <w:r w:rsidRPr="00C82E85">
        <w:rPr>
          <w:rFonts w:ascii="Verdana" w:hAnsi="Verdana" w:cs="Times New Roman"/>
        </w:rPr>
        <w:t>Les variantes ne sont pas autorisées.</w:t>
      </w:r>
    </w:p>
    <w:p w14:paraId="4E6BC9BA" w14:textId="1826B98B" w:rsidR="00DD62E8" w:rsidRPr="00C82E85" w:rsidRDefault="00DD62E8" w:rsidP="00D6381D">
      <w:pPr>
        <w:autoSpaceDE w:val="0"/>
        <w:autoSpaceDN w:val="0"/>
        <w:adjustRightInd w:val="0"/>
        <w:jc w:val="both"/>
        <w:rPr>
          <w:rFonts w:ascii="Verdana" w:hAnsi="Verdana" w:cs="Times New Roman"/>
        </w:rPr>
      </w:pPr>
    </w:p>
    <w:p w14:paraId="20A8BC3A" w14:textId="31C7E6FD" w:rsidR="00DD62E8" w:rsidRPr="00C82E85" w:rsidRDefault="00DD62E8" w:rsidP="00D6381D">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2.7 – Lieu de livraison</w:t>
      </w:r>
      <w:r w:rsidR="00A81B91">
        <w:rPr>
          <w:rFonts w:ascii="Verdana" w:hAnsi="Verdana" w:cs="Times New Roman"/>
          <w:u w:val="single"/>
        </w:rPr>
        <w:t xml:space="preserve"> des nouvelles cartes</w:t>
      </w:r>
    </w:p>
    <w:p w14:paraId="471F732B" w14:textId="1C922438" w:rsidR="00DD62E8" w:rsidRPr="00C82E85" w:rsidRDefault="00DD62E8" w:rsidP="00D6381D">
      <w:pPr>
        <w:autoSpaceDE w:val="0"/>
        <w:autoSpaceDN w:val="0"/>
        <w:adjustRightInd w:val="0"/>
        <w:jc w:val="both"/>
        <w:rPr>
          <w:rFonts w:ascii="Verdana" w:hAnsi="Verdana" w:cs="Times New Roman"/>
          <w:u w:val="single"/>
        </w:rPr>
      </w:pPr>
    </w:p>
    <w:p w14:paraId="56C9189C" w14:textId="77777777" w:rsidR="00DD62E8" w:rsidRPr="00C82E85" w:rsidRDefault="00DD62E8" w:rsidP="00DD62E8">
      <w:pPr>
        <w:autoSpaceDE w:val="0"/>
        <w:autoSpaceDN w:val="0"/>
        <w:adjustRightInd w:val="0"/>
        <w:jc w:val="center"/>
        <w:rPr>
          <w:rFonts w:ascii="Verdana" w:hAnsi="Verdana" w:cs="Times New Roman"/>
        </w:rPr>
      </w:pPr>
      <w:r w:rsidRPr="00C82E85">
        <w:rPr>
          <w:rFonts w:ascii="Verdana" w:hAnsi="Verdana" w:cs="Times New Roman"/>
        </w:rPr>
        <w:t>Mairie</w:t>
      </w:r>
    </w:p>
    <w:p w14:paraId="7BC2052A" w14:textId="77777777" w:rsidR="00DD62E8" w:rsidRPr="00C82E85" w:rsidRDefault="00DD62E8" w:rsidP="00DD62E8">
      <w:pPr>
        <w:autoSpaceDE w:val="0"/>
        <w:autoSpaceDN w:val="0"/>
        <w:adjustRightInd w:val="0"/>
        <w:jc w:val="center"/>
        <w:rPr>
          <w:rFonts w:ascii="Verdana" w:hAnsi="Verdana" w:cs="Times New Roman"/>
        </w:rPr>
      </w:pPr>
      <w:r w:rsidRPr="00C82E85">
        <w:rPr>
          <w:rFonts w:ascii="Verdana" w:hAnsi="Verdana" w:cs="Times New Roman"/>
        </w:rPr>
        <w:t>Service des Ressources Humaines</w:t>
      </w:r>
    </w:p>
    <w:p w14:paraId="5D4D1D0F" w14:textId="77777777" w:rsidR="00DD62E8" w:rsidRPr="00C82E85" w:rsidRDefault="00DD62E8" w:rsidP="00DD62E8">
      <w:pPr>
        <w:autoSpaceDE w:val="0"/>
        <w:autoSpaceDN w:val="0"/>
        <w:adjustRightInd w:val="0"/>
        <w:jc w:val="center"/>
        <w:rPr>
          <w:rFonts w:ascii="Verdana" w:hAnsi="Verdana" w:cs="Times New Roman"/>
        </w:rPr>
      </w:pPr>
      <w:r w:rsidRPr="00C82E85">
        <w:rPr>
          <w:rFonts w:ascii="Verdana" w:hAnsi="Verdana" w:cs="Times New Roman"/>
        </w:rPr>
        <w:t>25 avenue de la Gare</w:t>
      </w:r>
    </w:p>
    <w:p w14:paraId="7260AB94" w14:textId="5A7FC1E7" w:rsidR="00DD62E8" w:rsidRPr="00C82E85" w:rsidRDefault="00DD62E8" w:rsidP="00DD62E8">
      <w:pPr>
        <w:autoSpaceDE w:val="0"/>
        <w:autoSpaceDN w:val="0"/>
        <w:adjustRightInd w:val="0"/>
        <w:jc w:val="center"/>
        <w:rPr>
          <w:rFonts w:ascii="Verdana" w:hAnsi="Verdana" w:cs="Times New Roman"/>
        </w:rPr>
      </w:pPr>
      <w:r w:rsidRPr="00C82E85">
        <w:rPr>
          <w:rFonts w:ascii="Verdana" w:hAnsi="Verdana" w:cs="Times New Roman"/>
        </w:rPr>
        <w:t>83720 TRANS</w:t>
      </w:r>
      <w:r w:rsidR="00A06EA9">
        <w:rPr>
          <w:rFonts w:ascii="Verdana" w:hAnsi="Verdana" w:cs="Times New Roman"/>
        </w:rPr>
        <w:t>-</w:t>
      </w:r>
      <w:r w:rsidRPr="00C82E85">
        <w:rPr>
          <w:rFonts w:ascii="Verdana" w:hAnsi="Verdana" w:cs="Times New Roman"/>
        </w:rPr>
        <w:t>EN</w:t>
      </w:r>
      <w:r w:rsidR="00A06EA9">
        <w:rPr>
          <w:rFonts w:ascii="Verdana" w:hAnsi="Verdana" w:cs="Times New Roman"/>
        </w:rPr>
        <w:t>-</w:t>
      </w:r>
      <w:r w:rsidRPr="00C82E85">
        <w:rPr>
          <w:rFonts w:ascii="Verdana" w:hAnsi="Verdana" w:cs="Times New Roman"/>
        </w:rPr>
        <w:t>PROVENCE</w:t>
      </w:r>
    </w:p>
    <w:p w14:paraId="7A597933" w14:textId="558B9263" w:rsidR="00DD62E8" w:rsidRPr="00C82E85" w:rsidRDefault="00DD62E8" w:rsidP="00DD62E8">
      <w:pPr>
        <w:autoSpaceDE w:val="0"/>
        <w:autoSpaceDN w:val="0"/>
        <w:adjustRightInd w:val="0"/>
        <w:jc w:val="center"/>
        <w:rPr>
          <w:rFonts w:ascii="Verdana" w:hAnsi="Verdana" w:cs="Times New Roman"/>
        </w:rPr>
      </w:pPr>
    </w:p>
    <w:p w14:paraId="667BB95A" w14:textId="5C207213" w:rsidR="00DD62E8" w:rsidRPr="00C82E85" w:rsidRDefault="00DD62E8" w:rsidP="00DD62E8">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2.8 – Délai de validité des offres</w:t>
      </w:r>
    </w:p>
    <w:p w14:paraId="63C529B4" w14:textId="1DDDC053" w:rsidR="00DD62E8" w:rsidRPr="00C82E85" w:rsidRDefault="00DD62E8" w:rsidP="00DD62E8">
      <w:pPr>
        <w:autoSpaceDE w:val="0"/>
        <w:autoSpaceDN w:val="0"/>
        <w:adjustRightInd w:val="0"/>
        <w:jc w:val="both"/>
        <w:rPr>
          <w:rFonts w:ascii="Verdana" w:hAnsi="Verdana" w:cs="Times New Roman"/>
          <w:u w:val="single"/>
        </w:rPr>
      </w:pPr>
    </w:p>
    <w:p w14:paraId="5F27F323" w14:textId="1DAB6DD2" w:rsidR="00DD62E8" w:rsidRPr="00C82E85" w:rsidRDefault="00DD62E8" w:rsidP="00DD62E8">
      <w:pPr>
        <w:autoSpaceDE w:val="0"/>
        <w:autoSpaceDN w:val="0"/>
        <w:adjustRightInd w:val="0"/>
        <w:jc w:val="both"/>
        <w:rPr>
          <w:rFonts w:ascii="Verdana" w:hAnsi="Verdana" w:cs="Times New Roman"/>
        </w:rPr>
      </w:pPr>
      <w:r w:rsidRPr="00C82E85">
        <w:rPr>
          <w:rFonts w:ascii="Verdana" w:hAnsi="Verdana" w:cs="Times New Roman"/>
        </w:rPr>
        <w:t xml:space="preserve">Le délai de validité des offres est de </w:t>
      </w:r>
      <w:r w:rsidR="00BB15D6">
        <w:rPr>
          <w:rFonts w:ascii="Verdana" w:hAnsi="Verdana" w:cs="Times New Roman"/>
        </w:rPr>
        <w:t>90</w:t>
      </w:r>
      <w:r w:rsidRPr="00C82E85">
        <w:rPr>
          <w:rFonts w:ascii="Verdana" w:hAnsi="Verdana" w:cs="Times New Roman"/>
        </w:rPr>
        <w:t xml:space="preserve"> jours (</w:t>
      </w:r>
      <w:r w:rsidR="00BB15D6">
        <w:rPr>
          <w:rFonts w:ascii="Verdana" w:hAnsi="Verdana" w:cs="Times New Roman"/>
        </w:rPr>
        <w:t>3</w:t>
      </w:r>
      <w:r w:rsidRPr="00C82E85">
        <w:rPr>
          <w:rFonts w:ascii="Verdana" w:hAnsi="Verdana" w:cs="Times New Roman"/>
        </w:rPr>
        <w:t xml:space="preserve"> mois), il court à compter de la date limite fixée pour la remise des offres.</w:t>
      </w:r>
    </w:p>
    <w:p w14:paraId="0ABE592C" w14:textId="436FAFBF" w:rsidR="00DD62E8" w:rsidRPr="00C82E85" w:rsidRDefault="00DD62E8" w:rsidP="00DD62E8">
      <w:pPr>
        <w:autoSpaceDE w:val="0"/>
        <w:autoSpaceDN w:val="0"/>
        <w:adjustRightInd w:val="0"/>
        <w:jc w:val="both"/>
        <w:rPr>
          <w:rFonts w:ascii="Verdana" w:hAnsi="Verdana" w:cs="Times New Roman"/>
        </w:rPr>
      </w:pPr>
    </w:p>
    <w:p w14:paraId="2EB60628" w14:textId="6E0DDB81" w:rsidR="00DD62E8" w:rsidRPr="00C82E85" w:rsidRDefault="00DD62E8" w:rsidP="00DD62E8">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2.9 – Modifications de détail au dossier de consultation</w:t>
      </w:r>
    </w:p>
    <w:p w14:paraId="2D844BE4" w14:textId="24AAE378" w:rsidR="00DD62E8" w:rsidRPr="00C82E85" w:rsidRDefault="00DD62E8" w:rsidP="00D6381D">
      <w:pPr>
        <w:autoSpaceDE w:val="0"/>
        <w:autoSpaceDN w:val="0"/>
        <w:adjustRightInd w:val="0"/>
        <w:jc w:val="both"/>
        <w:rPr>
          <w:rFonts w:ascii="Verdana" w:hAnsi="Verdana" w:cs="Times New Roman"/>
        </w:rPr>
      </w:pPr>
    </w:p>
    <w:p w14:paraId="4AE532F5" w14:textId="6B10D5E9" w:rsidR="00DD62E8" w:rsidRPr="00C82E85" w:rsidRDefault="00DD62E8" w:rsidP="00D6381D">
      <w:pPr>
        <w:autoSpaceDE w:val="0"/>
        <w:autoSpaceDN w:val="0"/>
        <w:adjustRightInd w:val="0"/>
        <w:jc w:val="both"/>
        <w:rPr>
          <w:rFonts w:ascii="Verdana" w:hAnsi="Verdana" w:cs="Times New Roman"/>
        </w:rPr>
      </w:pPr>
      <w:r w:rsidRPr="00C82E85">
        <w:rPr>
          <w:rFonts w:ascii="Verdana" w:hAnsi="Verdana" w:cs="Times New Roman"/>
        </w:rPr>
        <w:t>Le pouvoir adjudicateur se réserve le droit d’apporter au plus tard 7 jours avant la date limite fixée pour la remise des offres, des modifications de détail au dossier de consultation. Les candidats devront alors répondre sur la base du dossier ainsi modifié sans pouvoir élever de réclamation.</w:t>
      </w:r>
    </w:p>
    <w:p w14:paraId="7FEB319E" w14:textId="7CDB82D7" w:rsidR="00DD62E8" w:rsidRPr="00C82E85" w:rsidRDefault="00DD62E8" w:rsidP="00D6381D">
      <w:pPr>
        <w:autoSpaceDE w:val="0"/>
        <w:autoSpaceDN w:val="0"/>
        <w:adjustRightInd w:val="0"/>
        <w:jc w:val="both"/>
        <w:rPr>
          <w:rFonts w:ascii="Verdana" w:hAnsi="Verdana" w:cs="Times New Roman"/>
        </w:rPr>
      </w:pPr>
    </w:p>
    <w:p w14:paraId="0C376978" w14:textId="7AE0F687" w:rsidR="00DD62E8" w:rsidRPr="00C82E85" w:rsidRDefault="00DD62E8" w:rsidP="00D6381D">
      <w:pPr>
        <w:autoSpaceDE w:val="0"/>
        <w:autoSpaceDN w:val="0"/>
        <w:adjustRightInd w:val="0"/>
        <w:jc w:val="both"/>
        <w:rPr>
          <w:rFonts w:ascii="Verdana" w:hAnsi="Verdana" w:cs="Times New Roman"/>
        </w:rPr>
      </w:pPr>
      <w:r w:rsidRPr="00C82E85">
        <w:rPr>
          <w:rFonts w:ascii="Verdana" w:hAnsi="Verdana" w:cs="Times New Roman"/>
        </w:rPr>
        <w:t>Si, pendant l’étude du dossier par les candidats, la date limite fixée pour la remise des offres est reportée, la disposition précédente est applicable en fonction de cette nouvelle date.</w:t>
      </w:r>
    </w:p>
    <w:p w14:paraId="235E804C" w14:textId="7B6CA2C5" w:rsidR="00DD62E8" w:rsidRPr="00C82E85" w:rsidRDefault="00DD62E8" w:rsidP="00D6381D">
      <w:pPr>
        <w:autoSpaceDE w:val="0"/>
        <w:autoSpaceDN w:val="0"/>
        <w:adjustRightInd w:val="0"/>
        <w:jc w:val="both"/>
        <w:rPr>
          <w:rFonts w:ascii="Verdana" w:hAnsi="Verdana" w:cs="Times New Roman"/>
        </w:rPr>
      </w:pPr>
    </w:p>
    <w:p w14:paraId="11AD647E" w14:textId="043DAE3E" w:rsidR="00DD62E8" w:rsidRPr="00C82E85" w:rsidRDefault="00DD62E8" w:rsidP="00D6381D">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2.10 – Liste des documents fournis par le pouvoir adjudicateur aux candidats</w:t>
      </w:r>
    </w:p>
    <w:p w14:paraId="4D523473" w14:textId="65B2F4E5" w:rsidR="00DD62E8" w:rsidRPr="00C82E85" w:rsidRDefault="00DD62E8" w:rsidP="00D6381D">
      <w:pPr>
        <w:autoSpaceDE w:val="0"/>
        <w:autoSpaceDN w:val="0"/>
        <w:adjustRightInd w:val="0"/>
        <w:jc w:val="both"/>
        <w:rPr>
          <w:rFonts w:ascii="Verdana" w:hAnsi="Verdana" w:cs="Times New Roman"/>
          <w:u w:val="single"/>
        </w:rPr>
      </w:pPr>
    </w:p>
    <w:p w14:paraId="574E564A" w14:textId="66DAB0A7" w:rsidR="005F6429" w:rsidRPr="00C82E85" w:rsidRDefault="00DD62E8" w:rsidP="00D6381D">
      <w:pPr>
        <w:autoSpaceDE w:val="0"/>
        <w:autoSpaceDN w:val="0"/>
        <w:adjustRightInd w:val="0"/>
        <w:jc w:val="both"/>
        <w:rPr>
          <w:rFonts w:ascii="Verdana" w:hAnsi="Verdana" w:cs="Times New Roman"/>
        </w:rPr>
      </w:pPr>
      <w:r w:rsidRPr="00C82E85">
        <w:rPr>
          <w:rFonts w:ascii="Verdana" w:hAnsi="Verdana" w:cs="Times New Roman"/>
        </w:rPr>
        <w:t>Le dossier de consultation des entreprises est à télécharger sur le site de dématérialis</w:t>
      </w:r>
      <w:r w:rsidR="005F6429" w:rsidRPr="00C82E85">
        <w:rPr>
          <w:rFonts w:ascii="Verdana" w:hAnsi="Verdana" w:cs="Times New Roman"/>
        </w:rPr>
        <w:t xml:space="preserve">ation : </w:t>
      </w:r>
      <w:hyperlink r:id="rId10" w:history="1">
        <w:r w:rsidR="005F6429" w:rsidRPr="00C82E85">
          <w:rPr>
            <w:rStyle w:val="Lienhypertexte"/>
            <w:rFonts w:ascii="Verdana" w:hAnsi="Verdana" w:cs="Times New Roman"/>
          </w:rPr>
          <w:t>www.marches-securises.fr</w:t>
        </w:r>
      </w:hyperlink>
      <w:r w:rsidR="005F6429" w:rsidRPr="00C82E85">
        <w:rPr>
          <w:rFonts w:ascii="Verdana" w:hAnsi="Verdana" w:cs="Times New Roman"/>
        </w:rPr>
        <w:t xml:space="preserve"> </w:t>
      </w:r>
      <w:r w:rsidR="00020782" w:rsidRPr="00C82E85">
        <w:rPr>
          <w:rFonts w:ascii="Verdana" w:hAnsi="Verdana" w:cs="Times New Roman"/>
        </w:rPr>
        <w:t xml:space="preserve">ou sur le site officiel de la mairie : </w:t>
      </w:r>
      <w:hyperlink r:id="rId11" w:history="1">
        <w:r w:rsidR="00020782" w:rsidRPr="00C82E85">
          <w:rPr>
            <w:rStyle w:val="Lienhypertexte"/>
            <w:rFonts w:ascii="Verdana" w:hAnsi="Verdana" w:cs="Times New Roman"/>
          </w:rPr>
          <w:t>www.transenprovence.fr</w:t>
        </w:r>
      </w:hyperlink>
      <w:r w:rsidR="00020782" w:rsidRPr="00C82E85">
        <w:rPr>
          <w:rFonts w:ascii="Verdana" w:hAnsi="Verdana" w:cs="Times New Roman"/>
        </w:rPr>
        <w:t xml:space="preserve"> </w:t>
      </w:r>
      <w:r w:rsidR="005F6429" w:rsidRPr="00C82E85">
        <w:rPr>
          <w:rFonts w:ascii="Verdana" w:hAnsi="Verdana" w:cs="Times New Roman"/>
        </w:rPr>
        <w:t>et comprend les pièces suivantes :</w:t>
      </w:r>
    </w:p>
    <w:p w14:paraId="7694647A" w14:textId="497C2DDD" w:rsidR="005F6429" w:rsidRPr="00C82E85" w:rsidRDefault="005F6429" w:rsidP="005F6429">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Le Règlement de Consultation (RC)</w:t>
      </w:r>
      <w:r w:rsidR="00A81B91">
        <w:rPr>
          <w:rFonts w:ascii="Verdana" w:hAnsi="Verdana" w:cs="Times New Roman"/>
        </w:rPr>
        <w:t> ;</w:t>
      </w:r>
    </w:p>
    <w:p w14:paraId="14514B70" w14:textId="720938CB" w:rsidR="005F6429" w:rsidRPr="00C82E85" w:rsidRDefault="005F6429" w:rsidP="005F6429">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L’Acte d’</w:t>
      </w:r>
      <w:r w:rsidR="00A81B91">
        <w:rPr>
          <w:rFonts w:ascii="Verdana" w:hAnsi="Verdana" w:cs="Times New Roman"/>
        </w:rPr>
        <w:t>E</w:t>
      </w:r>
      <w:r w:rsidRPr="00C82E85">
        <w:rPr>
          <w:rFonts w:ascii="Verdana" w:hAnsi="Verdana" w:cs="Times New Roman"/>
        </w:rPr>
        <w:t>ngagement (AE), cadre ci-joint à compléter, par les représentants qualifiés</w:t>
      </w:r>
      <w:r w:rsidR="00A81B91">
        <w:rPr>
          <w:rFonts w:ascii="Verdana" w:hAnsi="Verdana" w:cs="Times New Roman"/>
        </w:rPr>
        <w:t> ;</w:t>
      </w:r>
    </w:p>
    <w:p w14:paraId="08D2FC0A" w14:textId="08D610D4" w:rsidR="005F6429" w:rsidRPr="00C82E85" w:rsidRDefault="005F6429" w:rsidP="005F6429">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Le Cahier des Clauses Particulières (CCP), cahier ci-joint à accepter sans modification</w:t>
      </w:r>
      <w:r w:rsidR="00A81B91">
        <w:rPr>
          <w:rFonts w:ascii="Verdana" w:hAnsi="Verdana" w:cs="Times New Roman"/>
        </w:rPr>
        <w:t> ;</w:t>
      </w:r>
    </w:p>
    <w:p w14:paraId="2F02682F" w14:textId="739CB6D8" w:rsidR="005F6429" w:rsidRPr="00C82E85" w:rsidRDefault="005F6429" w:rsidP="005F6429">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Le Bordereau des Prix Unitaires (BPU), à compléter sans modification</w:t>
      </w:r>
      <w:r w:rsidR="00A81B91">
        <w:rPr>
          <w:rFonts w:ascii="Verdana" w:hAnsi="Verdana" w:cs="Times New Roman"/>
        </w:rPr>
        <w:t> ;</w:t>
      </w:r>
    </w:p>
    <w:p w14:paraId="0C9F9084" w14:textId="17AF1A62" w:rsidR="00812290" w:rsidRPr="00C82E85" w:rsidRDefault="005F6429" w:rsidP="00812290">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Le Devis Quantitatif Estimatif (DQE), à compléter sans modification.</w:t>
      </w:r>
    </w:p>
    <w:p w14:paraId="6DDB4E19" w14:textId="77777777" w:rsidR="00812290" w:rsidRPr="00C82E85" w:rsidRDefault="00812290" w:rsidP="00812290">
      <w:pPr>
        <w:autoSpaceDE w:val="0"/>
        <w:autoSpaceDN w:val="0"/>
        <w:adjustRightInd w:val="0"/>
        <w:jc w:val="both"/>
        <w:rPr>
          <w:rFonts w:ascii="Verdana" w:hAnsi="Verdana" w:cs="Times New Roman"/>
        </w:rPr>
      </w:pPr>
    </w:p>
    <w:p w14:paraId="490B1584" w14:textId="77777777" w:rsidR="005F6429" w:rsidRPr="00C82E85" w:rsidRDefault="005F6429" w:rsidP="005F6429">
      <w:pPr>
        <w:autoSpaceDE w:val="0"/>
        <w:autoSpaceDN w:val="0"/>
        <w:adjustRightInd w:val="0"/>
        <w:jc w:val="both"/>
        <w:rPr>
          <w:rFonts w:ascii="Verdana" w:hAnsi="Verdana" w:cs="Times New Roman"/>
        </w:rPr>
      </w:pPr>
    </w:p>
    <w:p w14:paraId="5CF87BE1" w14:textId="77777777" w:rsidR="005F6429" w:rsidRPr="00C82E85" w:rsidRDefault="005F6429" w:rsidP="005F6429">
      <w:pPr>
        <w:autoSpaceDE w:val="0"/>
        <w:autoSpaceDN w:val="0"/>
        <w:adjustRightInd w:val="0"/>
        <w:jc w:val="both"/>
        <w:rPr>
          <w:rFonts w:ascii="Verdana" w:hAnsi="Verdana" w:cs="Times New Roman"/>
          <w:b/>
          <w:bCs/>
          <w:sz w:val="24"/>
          <w:szCs w:val="24"/>
          <w:u w:val="single"/>
        </w:rPr>
      </w:pPr>
      <w:r w:rsidRPr="00C82E85">
        <w:rPr>
          <w:rFonts w:ascii="Verdana" w:hAnsi="Verdana" w:cs="Times New Roman"/>
          <w:b/>
          <w:bCs/>
          <w:sz w:val="24"/>
          <w:szCs w:val="24"/>
          <w:u w:val="single"/>
        </w:rPr>
        <w:t>3 – CONDITION DE PARTICIPATION ET PRÉSENTATION DES CANDIDATURES ET DES OFFRES</w:t>
      </w:r>
    </w:p>
    <w:p w14:paraId="1D8667E7" w14:textId="77777777" w:rsidR="005F6429" w:rsidRPr="00C82E85" w:rsidRDefault="005F6429" w:rsidP="005F6429">
      <w:pPr>
        <w:autoSpaceDE w:val="0"/>
        <w:autoSpaceDN w:val="0"/>
        <w:adjustRightInd w:val="0"/>
        <w:jc w:val="both"/>
        <w:rPr>
          <w:rFonts w:ascii="Verdana" w:hAnsi="Verdana" w:cs="Times New Roman"/>
          <w:b/>
          <w:bCs/>
          <w:u w:val="single"/>
        </w:rPr>
      </w:pPr>
    </w:p>
    <w:p w14:paraId="4F70F49E" w14:textId="77777777" w:rsidR="005F6429" w:rsidRPr="00C82E85" w:rsidRDefault="005F6429" w:rsidP="005F6429">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3.1 – Condition de participation</w:t>
      </w:r>
    </w:p>
    <w:p w14:paraId="35FEABE4" w14:textId="77777777" w:rsidR="005F6429" w:rsidRPr="00C82E85" w:rsidRDefault="005F6429" w:rsidP="005F6429">
      <w:pPr>
        <w:autoSpaceDE w:val="0"/>
        <w:autoSpaceDN w:val="0"/>
        <w:adjustRightInd w:val="0"/>
        <w:jc w:val="both"/>
        <w:rPr>
          <w:rFonts w:ascii="Verdana" w:hAnsi="Verdana" w:cs="Times New Roman"/>
          <w:u w:val="single"/>
        </w:rPr>
      </w:pPr>
    </w:p>
    <w:p w14:paraId="489DDFA5" w14:textId="77777777" w:rsidR="00812290" w:rsidRPr="00C82E85" w:rsidRDefault="00812290" w:rsidP="005F6429">
      <w:pPr>
        <w:autoSpaceDE w:val="0"/>
        <w:autoSpaceDN w:val="0"/>
        <w:adjustRightInd w:val="0"/>
        <w:jc w:val="both"/>
        <w:rPr>
          <w:rFonts w:ascii="Verdana" w:hAnsi="Verdana" w:cs="Times New Roman"/>
        </w:rPr>
      </w:pPr>
      <w:r w:rsidRPr="00C82E85">
        <w:rPr>
          <w:rFonts w:ascii="Verdana" w:hAnsi="Verdana" w:cs="Times New Roman"/>
        </w:rPr>
        <w:t>Les entreprises ne doivent pas être en situation leur interdisant de soumissionner selon les conditions des articles L2141-1 à L2141-6 du Code de la Commande Publique.</w:t>
      </w:r>
    </w:p>
    <w:p w14:paraId="7F28DD97" w14:textId="77777777" w:rsidR="00812290" w:rsidRPr="00C82E85" w:rsidRDefault="00812290" w:rsidP="005F6429">
      <w:pPr>
        <w:autoSpaceDE w:val="0"/>
        <w:autoSpaceDN w:val="0"/>
        <w:adjustRightInd w:val="0"/>
        <w:jc w:val="both"/>
        <w:rPr>
          <w:rFonts w:ascii="Verdana" w:hAnsi="Verdana" w:cs="Times New Roman"/>
        </w:rPr>
      </w:pPr>
    </w:p>
    <w:p w14:paraId="1D69DC38" w14:textId="268CEF30" w:rsidR="00DD62E8" w:rsidRPr="00C82E85" w:rsidRDefault="00812290" w:rsidP="005F6429">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3.2 – Partie « Candidature »</w:t>
      </w:r>
      <w:r w:rsidR="005F6429" w:rsidRPr="00C82E85">
        <w:rPr>
          <w:rFonts w:ascii="Verdana" w:hAnsi="Verdana" w:cs="Times New Roman"/>
          <w:u w:val="single"/>
        </w:rPr>
        <w:t xml:space="preserve"> </w:t>
      </w:r>
      <w:r w:rsidR="00DD62E8" w:rsidRPr="00C82E85">
        <w:rPr>
          <w:rFonts w:ascii="Verdana" w:hAnsi="Verdana" w:cs="Times New Roman"/>
          <w:u w:val="single"/>
        </w:rPr>
        <w:t xml:space="preserve">  </w:t>
      </w:r>
    </w:p>
    <w:p w14:paraId="07C0BE96" w14:textId="085C322C" w:rsidR="00812290" w:rsidRPr="00C82E85" w:rsidRDefault="00812290" w:rsidP="005F6429">
      <w:pPr>
        <w:autoSpaceDE w:val="0"/>
        <w:autoSpaceDN w:val="0"/>
        <w:adjustRightInd w:val="0"/>
        <w:jc w:val="both"/>
        <w:rPr>
          <w:rFonts w:ascii="Verdana" w:hAnsi="Verdana" w:cs="Times New Roman"/>
          <w:u w:val="single"/>
        </w:rPr>
      </w:pPr>
    </w:p>
    <w:p w14:paraId="53FD85DE" w14:textId="6A2686C7" w:rsidR="00812290" w:rsidRPr="00C82E85" w:rsidRDefault="00034461" w:rsidP="005F6429">
      <w:pPr>
        <w:autoSpaceDE w:val="0"/>
        <w:autoSpaceDN w:val="0"/>
        <w:adjustRightInd w:val="0"/>
        <w:jc w:val="both"/>
        <w:rPr>
          <w:rFonts w:ascii="Verdana" w:hAnsi="Verdana" w:cs="Times New Roman"/>
        </w:rPr>
      </w:pPr>
      <w:r w:rsidRPr="00C82E85">
        <w:rPr>
          <w:rFonts w:ascii="Verdana" w:hAnsi="Verdana" w:cs="Times New Roman"/>
        </w:rPr>
        <w:t>Le dossier de candidature comprend obligatoirement les pièces suivantes, conformément à l’article L2142-1 du Code de la Commande Publique :</w:t>
      </w:r>
    </w:p>
    <w:p w14:paraId="630D6BAA" w14:textId="1B3A13FA" w:rsidR="00034461" w:rsidRPr="00C82E85" w:rsidRDefault="00034461" w:rsidP="00034461">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Lettre de candidature dûment signée et imprimée DC1</w:t>
      </w:r>
      <w:r w:rsidR="00A81B91">
        <w:rPr>
          <w:rFonts w:ascii="Verdana" w:hAnsi="Verdana" w:cs="Times New Roman"/>
        </w:rPr>
        <w:t> ;</w:t>
      </w:r>
      <w:r w:rsidRPr="00C82E85">
        <w:rPr>
          <w:rFonts w:ascii="Verdana" w:hAnsi="Verdana" w:cs="Times New Roman"/>
        </w:rPr>
        <w:t xml:space="preserve"> </w:t>
      </w:r>
    </w:p>
    <w:p w14:paraId="174DD5A6" w14:textId="1107AD3D" w:rsidR="00034461" w:rsidRPr="00C82E85" w:rsidRDefault="00034461" w:rsidP="00034461">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 xml:space="preserve">Les documents relatifs au pouvoir, indiquant le nom et la qualité de la personne signataire ayant pouvoir d’engager l’entreprise, et en cas de </w:t>
      </w:r>
      <w:r w:rsidRPr="00C82E85">
        <w:rPr>
          <w:rFonts w:ascii="Verdana" w:hAnsi="Verdana" w:cs="Times New Roman"/>
        </w:rPr>
        <w:lastRenderedPageBreak/>
        <w:t>groupement, les documents relatifs au pouvoir donné par les cotraitants à cette personne</w:t>
      </w:r>
      <w:r w:rsidR="00A81B91">
        <w:rPr>
          <w:rFonts w:ascii="Verdana" w:hAnsi="Verdana" w:cs="Times New Roman"/>
        </w:rPr>
        <w:t> ;</w:t>
      </w:r>
    </w:p>
    <w:p w14:paraId="4BA8D194" w14:textId="22FCA555" w:rsidR="00034461" w:rsidRPr="00C82E85" w:rsidRDefault="00034461" w:rsidP="00034461">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Déclaration sur l’honneur du candidat justifiant que ce dernier n’entre pas dans un des cas d’exclusion prévus aux articles L2141-1 à L2141-5 et aux articles L2141-7à L2141-10 ou aux articles L2341-1 à L2341-3 et aux articles L2141-7 à L 2141-10 du Code de la Commande Publique</w:t>
      </w:r>
      <w:r w:rsidR="00A81B91">
        <w:rPr>
          <w:rFonts w:ascii="Verdana" w:hAnsi="Verdana" w:cs="Times New Roman"/>
        </w:rPr>
        <w:t> ;</w:t>
      </w:r>
    </w:p>
    <w:p w14:paraId="73B9838D" w14:textId="5B374E0F" w:rsidR="00034461" w:rsidRPr="00C82E85" w:rsidRDefault="00034461" w:rsidP="00034461">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Déclaration du candidat, chiffre d’affaires des 3 dernières années concernant les prestations du présent marché (ou imprimé DC2)</w:t>
      </w:r>
      <w:r w:rsidR="00A81B91">
        <w:rPr>
          <w:rFonts w:ascii="Verdana" w:hAnsi="Verdana" w:cs="Times New Roman"/>
        </w:rPr>
        <w:t> ;</w:t>
      </w:r>
    </w:p>
    <w:p w14:paraId="5CCFFB59" w14:textId="52BF3661" w:rsidR="00034461" w:rsidRPr="00C82E85" w:rsidRDefault="00034461" w:rsidP="00034461">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Liste des prestations en cours d’exécution ou exécutées au cours de ces 3 dernières années, indiquant notamment : le montant, la date et le destinataire public ou privé</w:t>
      </w:r>
      <w:r w:rsidR="00A81B91">
        <w:rPr>
          <w:rFonts w:ascii="Verdana" w:hAnsi="Verdana" w:cs="Times New Roman"/>
        </w:rPr>
        <w:t> ;</w:t>
      </w:r>
    </w:p>
    <w:p w14:paraId="5FBED4F1" w14:textId="023E6AA8" w:rsidR="00034461" w:rsidRPr="00C82E85" w:rsidRDefault="00034461" w:rsidP="00034461">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Déclaration indiquant le matériel et l’équipement technique dont le candidat dispose pour l’exécution de cette prestation</w:t>
      </w:r>
      <w:r w:rsidR="00A81B91">
        <w:rPr>
          <w:rFonts w:ascii="Verdana" w:hAnsi="Verdana" w:cs="Times New Roman"/>
        </w:rPr>
        <w:t> ;</w:t>
      </w:r>
    </w:p>
    <w:p w14:paraId="7F5359FE" w14:textId="1919301C" w:rsidR="00B62BC5" w:rsidRPr="00C82E85" w:rsidRDefault="00034461" w:rsidP="00034461">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 xml:space="preserve">Certificats de qualifications professionnelles. La preuve de la capacité du candidat </w:t>
      </w:r>
      <w:r w:rsidR="00D12DB3" w:rsidRPr="00C82E85">
        <w:rPr>
          <w:rFonts w:ascii="Verdana" w:hAnsi="Verdana" w:cs="Times New Roman"/>
        </w:rPr>
        <w:t>peut être</w:t>
      </w:r>
      <w:r w:rsidRPr="00C82E85">
        <w:rPr>
          <w:rFonts w:ascii="Verdana" w:hAnsi="Verdana" w:cs="Times New Roman"/>
        </w:rPr>
        <w:t xml:space="preserve"> apportée par tous</w:t>
      </w:r>
      <w:r w:rsidR="00B62BC5" w:rsidRPr="00C82E85">
        <w:rPr>
          <w:rFonts w:ascii="Verdana" w:hAnsi="Verdana" w:cs="Times New Roman"/>
        </w:rPr>
        <w:t xml:space="preserve"> les</w:t>
      </w:r>
      <w:r w:rsidRPr="00C82E85">
        <w:rPr>
          <w:rFonts w:ascii="Verdana" w:hAnsi="Verdana" w:cs="Times New Roman"/>
        </w:rPr>
        <w:t xml:space="preserve"> moyens, </w:t>
      </w:r>
      <w:r w:rsidR="00B62BC5" w:rsidRPr="00C82E85">
        <w:rPr>
          <w:rFonts w:ascii="Verdana" w:hAnsi="Verdana" w:cs="Times New Roman"/>
        </w:rPr>
        <w:t>notamment par des certificats d’identités professionnelles ou des références de travaux attestant de la compétence de l’opérateur économique à réaliser les prestations pour lesquelles il se porte candidat</w:t>
      </w:r>
      <w:r w:rsidR="00A81B91">
        <w:rPr>
          <w:rFonts w:ascii="Verdana" w:hAnsi="Verdana" w:cs="Times New Roman"/>
        </w:rPr>
        <w:t> ;</w:t>
      </w:r>
    </w:p>
    <w:p w14:paraId="33494C80" w14:textId="77777777" w:rsidR="00B62BC5" w:rsidRPr="00C82E85" w:rsidRDefault="00B62BC5" w:rsidP="00034461">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Si l’entreprise est en redressement judiciaire, la copie du ou des jugements prononcés à cet effet.</w:t>
      </w:r>
    </w:p>
    <w:p w14:paraId="62C0D012" w14:textId="77777777" w:rsidR="00B62BC5" w:rsidRPr="00C82E85" w:rsidRDefault="00B62BC5" w:rsidP="00B62BC5">
      <w:pPr>
        <w:autoSpaceDE w:val="0"/>
        <w:autoSpaceDN w:val="0"/>
        <w:adjustRightInd w:val="0"/>
        <w:jc w:val="both"/>
        <w:rPr>
          <w:rFonts w:ascii="Verdana" w:hAnsi="Verdana" w:cs="Times New Roman"/>
        </w:rPr>
      </w:pPr>
    </w:p>
    <w:p w14:paraId="04D70C5A" w14:textId="170D94DA" w:rsidR="00034461" w:rsidRPr="00C82E85" w:rsidRDefault="00B62BC5" w:rsidP="00B62BC5">
      <w:pPr>
        <w:autoSpaceDE w:val="0"/>
        <w:autoSpaceDN w:val="0"/>
        <w:adjustRightInd w:val="0"/>
        <w:jc w:val="both"/>
        <w:rPr>
          <w:rFonts w:ascii="Verdana" w:hAnsi="Verdana" w:cs="Times New Roman"/>
        </w:rPr>
      </w:pPr>
      <w:r w:rsidRPr="00C82E85">
        <w:rPr>
          <w:rFonts w:ascii="Verdana" w:hAnsi="Verdana" w:cs="Times New Roman"/>
          <w:b/>
          <w:bCs/>
        </w:rPr>
        <w:t>En cas de cotraitance, il sera fourni les éléments nécessaires de la liste ci-dessus pour chacun des cotraitants</w:t>
      </w:r>
      <w:r w:rsidRPr="00C82E85">
        <w:rPr>
          <w:rFonts w:ascii="Verdana" w:hAnsi="Verdana" w:cs="Times New Roman"/>
        </w:rPr>
        <w:t>.</w:t>
      </w:r>
    </w:p>
    <w:p w14:paraId="7F142703" w14:textId="4329AAA8" w:rsidR="00B62BC5" w:rsidRPr="00C82E85" w:rsidRDefault="00B62BC5" w:rsidP="00B62BC5">
      <w:pPr>
        <w:autoSpaceDE w:val="0"/>
        <w:autoSpaceDN w:val="0"/>
        <w:adjustRightInd w:val="0"/>
        <w:jc w:val="both"/>
        <w:rPr>
          <w:rFonts w:ascii="Verdana" w:hAnsi="Verdana" w:cs="Times New Roman"/>
        </w:rPr>
      </w:pPr>
    </w:p>
    <w:p w14:paraId="3084BF95" w14:textId="2E2FDE93" w:rsidR="00B62BC5" w:rsidRPr="00C82E85" w:rsidRDefault="00B62BC5" w:rsidP="00B62BC5">
      <w:pPr>
        <w:autoSpaceDE w:val="0"/>
        <w:autoSpaceDN w:val="0"/>
        <w:adjustRightInd w:val="0"/>
        <w:jc w:val="both"/>
        <w:rPr>
          <w:rFonts w:ascii="Verdana" w:hAnsi="Verdana" w:cs="Times New Roman"/>
        </w:rPr>
      </w:pPr>
      <w:r w:rsidRPr="00C82E85">
        <w:rPr>
          <w:rFonts w:ascii="Verdana" w:hAnsi="Verdana" w:cs="Times New Roman"/>
        </w:rPr>
        <w:t>Selon l’article R2143-13 du Code de la Commande Publique, les candidats ne sont pas tenus de fournir les documents et renseignements qui ont été déjà transmis dans le cadre d’une précédente consultation et qui demeurent valables. Ils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et de cet espace et que l’accès à celui-ci soit gratuit.</w:t>
      </w:r>
    </w:p>
    <w:p w14:paraId="4C6854A0" w14:textId="59836C91" w:rsidR="00AE48B5" w:rsidRPr="00C82E85" w:rsidRDefault="00AE48B5" w:rsidP="00B62BC5">
      <w:pPr>
        <w:autoSpaceDE w:val="0"/>
        <w:autoSpaceDN w:val="0"/>
        <w:adjustRightInd w:val="0"/>
        <w:jc w:val="both"/>
        <w:rPr>
          <w:rFonts w:ascii="Verdana" w:hAnsi="Verdana" w:cs="Times New Roman"/>
        </w:rPr>
      </w:pPr>
    </w:p>
    <w:p w14:paraId="21E8ECD7" w14:textId="613B8057" w:rsidR="00AE48B5" w:rsidRPr="00C82E85" w:rsidRDefault="00AE48B5" w:rsidP="00B62BC5">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3.3 – Une partie « Offre »</w:t>
      </w:r>
    </w:p>
    <w:p w14:paraId="42B76ED5" w14:textId="1223CA6E" w:rsidR="00AE48B5" w:rsidRPr="00C82E85" w:rsidRDefault="00AE48B5" w:rsidP="00B62BC5">
      <w:pPr>
        <w:autoSpaceDE w:val="0"/>
        <w:autoSpaceDN w:val="0"/>
        <w:adjustRightInd w:val="0"/>
        <w:jc w:val="both"/>
        <w:rPr>
          <w:rFonts w:ascii="Verdana" w:hAnsi="Verdana" w:cs="Times New Roman"/>
          <w:u w:val="single"/>
        </w:rPr>
      </w:pPr>
    </w:p>
    <w:p w14:paraId="0219AAC4" w14:textId="178894FF" w:rsidR="00AE48B5" w:rsidRPr="00C82E85" w:rsidRDefault="00AE48B5" w:rsidP="00B62BC5">
      <w:pPr>
        <w:autoSpaceDE w:val="0"/>
        <w:autoSpaceDN w:val="0"/>
        <w:adjustRightInd w:val="0"/>
        <w:jc w:val="both"/>
        <w:rPr>
          <w:rFonts w:ascii="Verdana" w:hAnsi="Verdana" w:cs="Times New Roman"/>
        </w:rPr>
      </w:pPr>
      <w:r w:rsidRPr="00C82E85">
        <w:rPr>
          <w:rFonts w:ascii="Verdana" w:hAnsi="Verdana" w:cs="Times New Roman"/>
        </w:rPr>
        <w:t>Le projet de marché comprend :</w:t>
      </w:r>
    </w:p>
    <w:p w14:paraId="6DC8C3EA" w14:textId="1171BC7A" w:rsidR="00AE48B5" w:rsidRPr="00C82E85" w:rsidRDefault="00AE48B5" w:rsidP="00AE48B5">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Pièce n°1 : Acte d’</w:t>
      </w:r>
      <w:r w:rsidR="00A81B91">
        <w:rPr>
          <w:rFonts w:ascii="Verdana" w:hAnsi="Verdana" w:cs="Times New Roman"/>
        </w:rPr>
        <w:t>E</w:t>
      </w:r>
      <w:r w:rsidRPr="00C82E85">
        <w:rPr>
          <w:rFonts w:ascii="Verdana" w:hAnsi="Verdana" w:cs="Times New Roman"/>
        </w:rPr>
        <w:t>ngagement (AE)</w:t>
      </w:r>
    </w:p>
    <w:p w14:paraId="775D2AB2" w14:textId="2EAEC377" w:rsidR="00AE48B5" w:rsidRPr="00C82E85" w:rsidRDefault="00AE48B5" w:rsidP="00AE48B5">
      <w:pPr>
        <w:autoSpaceDE w:val="0"/>
        <w:autoSpaceDN w:val="0"/>
        <w:adjustRightInd w:val="0"/>
        <w:jc w:val="both"/>
        <w:rPr>
          <w:rFonts w:ascii="Verdana" w:hAnsi="Verdana" w:cs="Times New Roman"/>
        </w:rPr>
      </w:pPr>
      <w:r w:rsidRPr="00C82E85">
        <w:rPr>
          <w:rFonts w:ascii="Verdana" w:hAnsi="Verdana" w:cs="Times New Roman"/>
          <w:b/>
          <w:bCs/>
        </w:rPr>
        <w:t>Cadre joint à compléter</w:t>
      </w:r>
      <w:r w:rsidR="00D9682B" w:rsidRPr="00C82E85">
        <w:rPr>
          <w:rFonts w:ascii="Verdana" w:hAnsi="Verdana" w:cs="Times New Roman"/>
          <w:b/>
          <w:bCs/>
        </w:rPr>
        <w:t>, daté et signé</w:t>
      </w:r>
      <w:r w:rsidRPr="00C82E85">
        <w:rPr>
          <w:rFonts w:ascii="Verdana" w:hAnsi="Verdana" w:cs="Times New Roman"/>
          <w:b/>
          <w:bCs/>
        </w:rPr>
        <w:t xml:space="preserve"> </w:t>
      </w:r>
      <w:r w:rsidRPr="00C82E85">
        <w:rPr>
          <w:rFonts w:ascii="Verdana" w:hAnsi="Verdana" w:cs="Times New Roman"/>
        </w:rPr>
        <w:t>par les représentants qualifiés de toutes les entreprises concurrentes ayant vocation à être titulaires du marché.</w:t>
      </w:r>
    </w:p>
    <w:p w14:paraId="406751C5" w14:textId="56B8C36A" w:rsidR="00AE48B5" w:rsidRPr="00C82E85" w:rsidRDefault="00AE48B5" w:rsidP="00AE48B5">
      <w:pPr>
        <w:autoSpaceDE w:val="0"/>
        <w:autoSpaceDN w:val="0"/>
        <w:adjustRightInd w:val="0"/>
        <w:jc w:val="both"/>
        <w:rPr>
          <w:rFonts w:ascii="Verdana" w:hAnsi="Verdana" w:cs="Times New Roman"/>
        </w:rPr>
      </w:pPr>
    </w:p>
    <w:p w14:paraId="092D92FA" w14:textId="3F98CF61" w:rsidR="00AE48B5" w:rsidRPr="00C82E85" w:rsidRDefault="00AE48B5" w:rsidP="00AE48B5">
      <w:pPr>
        <w:autoSpaceDE w:val="0"/>
        <w:autoSpaceDN w:val="0"/>
        <w:adjustRightInd w:val="0"/>
        <w:jc w:val="both"/>
        <w:rPr>
          <w:rFonts w:ascii="Verdana" w:hAnsi="Verdana" w:cs="Times New Roman"/>
        </w:rPr>
      </w:pPr>
      <w:r w:rsidRPr="00C82E85">
        <w:rPr>
          <w:rFonts w:ascii="Verdana" w:hAnsi="Verdana" w:cs="Times New Roman"/>
          <w:b/>
          <w:bCs/>
        </w:rPr>
        <w:t>En cas de sous-traitance</w:t>
      </w:r>
      <w:r w:rsidRPr="00C82E85">
        <w:rPr>
          <w:rFonts w:ascii="Verdana" w:hAnsi="Verdana" w:cs="Times New Roman"/>
        </w:rPr>
        <w:t>, article R2151-13, pour l’acceptation de chaque sous-traitant et l’agrément de ses conditions de paiement, le candidat fournira un DC4, détaillant la partie qu’il entend sous-traiter avec son montant. Il sera fourni, pour chaque sous-traitant, les éléments nécessaires à la liste des documents cités à l’article 3.2 du présent document.</w:t>
      </w:r>
    </w:p>
    <w:p w14:paraId="64588A50" w14:textId="33BF033E" w:rsidR="00AE48B5" w:rsidRPr="00C82E85" w:rsidRDefault="00AE48B5" w:rsidP="00AE48B5">
      <w:pPr>
        <w:autoSpaceDE w:val="0"/>
        <w:autoSpaceDN w:val="0"/>
        <w:adjustRightInd w:val="0"/>
        <w:jc w:val="both"/>
        <w:rPr>
          <w:rFonts w:ascii="Verdana" w:hAnsi="Verdana" w:cs="Times New Roman"/>
        </w:rPr>
      </w:pPr>
    </w:p>
    <w:p w14:paraId="41EC35BE" w14:textId="6068A34C" w:rsidR="00AE48B5" w:rsidRPr="00C82E85" w:rsidRDefault="00AE48B5" w:rsidP="00AE48B5">
      <w:pPr>
        <w:autoSpaceDE w:val="0"/>
        <w:autoSpaceDN w:val="0"/>
        <w:adjustRightInd w:val="0"/>
        <w:jc w:val="both"/>
        <w:rPr>
          <w:rFonts w:ascii="Verdana" w:hAnsi="Verdana" w:cs="Times New Roman"/>
          <w:color w:val="FF0000"/>
        </w:rPr>
      </w:pPr>
      <w:r w:rsidRPr="00C82E85">
        <w:rPr>
          <w:rFonts w:ascii="Verdana" w:hAnsi="Verdana" w:cs="Times New Roman"/>
          <w:color w:val="FF0000"/>
        </w:rPr>
        <w:t>Il est rappelé que le ou les signataires doivent être habilités à engager la société.</w:t>
      </w:r>
    </w:p>
    <w:p w14:paraId="294D7640" w14:textId="1BBE2E59" w:rsidR="00AE48B5" w:rsidRPr="00C82E85" w:rsidRDefault="00AE48B5" w:rsidP="00AE48B5">
      <w:pPr>
        <w:autoSpaceDE w:val="0"/>
        <w:autoSpaceDN w:val="0"/>
        <w:adjustRightInd w:val="0"/>
        <w:jc w:val="both"/>
        <w:rPr>
          <w:rFonts w:ascii="Verdana" w:hAnsi="Verdana" w:cs="Times New Roman"/>
          <w:color w:val="FF0000"/>
        </w:rPr>
      </w:pPr>
    </w:p>
    <w:p w14:paraId="6A04CF8A" w14:textId="1294E5D8" w:rsidR="00AE48B5" w:rsidRPr="00C82E85" w:rsidRDefault="00AE48B5" w:rsidP="00AE48B5">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Pièce n°2 : Mémoire technique de l’offre</w:t>
      </w:r>
    </w:p>
    <w:p w14:paraId="75424557" w14:textId="08C4FDCE" w:rsidR="00AE48B5" w:rsidRPr="00C82E85" w:rsidRDefault="00AE48B5" w:rsidP="00AE48B5">
      <w:pPr>
        <w:autoSpaceDE w:val="0"/>
        <w:autoSpaceDN w:val="0"/>
        <w:adjustRightInd w:val="0"/>
        <w:jc w:val="both"/>
        <w:rPr>
          <w:rFonts w:ascii="Verdana" w:hAnsi="Verdana" w:cs="Times New Roman"/>
        </w:rPr>
      </w:pPr>
      <w:r w:rsidRPr="00C82E85">
        <w:rPr>
          <w:rFonts w:ascii="Verdana" w:hAnsi="Verdana" w:cs="Times New Roman"/>
        </w:rPr>
        <w:t xml:space="preserve">Il comprend </w:t>
      </w:r>
      <w:r w:rsidR="009A6034" w:rsidRPr="00C82E85">
        <w:rPr>
          <w:rFonts w:ascii="Verdana" w:hAnsi="Verdana" w:cs="Times New Roman"/>
        </w:rPr>
        <w:t>5</w:t>
      </w:r>
      <w:r w:rsidRPr="00C82E85">
        <w:rPr>
          <w:rFonts w:ascii="Verdana" w:hAnsi="Verdana" w:cs="Times New Roman"/>
        </w:rPr>
        <w:t xml:space="preserve"> chapitres distincts, à savoir :</w:t>
      </w:r>
    </w:p>
    <w:p w14:paraId="1C0F42E6" w14:textId="1FF37BB8" w:rsidR="00461709" w:rsidRPr="00C82E85" w:rsidRDefault="00126D58" w:rsidP="00461709">
      <w:pPr>
        <w:pStyle w:val="Paragraphedeliste"/>
        <w:numPr>
          <w:ilvl w:val="2"/>
          <w:numId w:val="7"/>
        </w:numPr>
        <w:autoSpaceDE w:val="0"/>
        <w:autoSpaceDN w:val="0"/>
        <w:adjustRightInd w:val="0"/>
        <w:jc w:val="both"/>
        <w:rPr>
          <w:rFonts w:ascii="Verdana" w:hAnsi="Verdana" w:cs="Times New Roman"/>
        </w:rPr>
      </w:pPr>
      <w:r w:rsidRPr="00126D58">
        <w:rPr>
          <w:rFonts w:ascii="Verdana" w:hAnsi="Verdana" w:cs="Times New Roman"/>
          <w:b/>
          <w:bCs/>
        </w:rPr>
        <w:t>Moyens humains dédiés à l’exécution des missions</w:t>
      </w:r>
      <w:r>
        <w:rPr>
          <w:rFonts w:ascii="Verdana" w:hAnsi="Verdana" w:cs="Times New Roman"/>
        </w:rPr>
        <w:t xml:space="preserve"> : </w:t>
      </w:r>
      <w:r w:rsidRPr="00126D58">
        <w:rPr>
          <w:rFonts w:ascii="Verdana" w:hAnsi="Verdana" w:cs="Times New Roman"/>
          <w:i/>
          <w:iCs/>
        </w:rPr>
        <w:t>description des moyens humains affectés aux différentes étapes de réalisation des prestations de la prise en charge de la commande puis de sa préparation jusqu’à sa livraison. Le candidat précisera la disponibilité du support client proposé ainsi que son accompagnement en cas d’urgence avec l’identification d’un interlocuteur dédié.</w:t>
      </w:r>
      <w:r w:rsidR="007B1586">
        <w:rPr>
          <w:rFonts w:ascii="Verdana" w:hAnsi="Verdana" w:cs="Times New Roman"/>
          <w:i/>
          <w:iCs/>
        </w:rPr>
        <w:t>(10 points)</w:t>
      </w:r>
    </w:p>
    <w:p w14:paraId="1F0F7458" w14:textId="55A79E60" w:rsidR="00461709" w:rsidRPr="00C82E85" w:rsidRDefault="00126D58" w:rsidP="00461709">
      <w:pPr>
        <w:pStyle w:val="Paragraphedeliste"/>
        <w:numPr>
          <w:ilvl w:val="2"/>
          <w:numId w:val="7"/>
        </w:numPr>
        <w:autoSpaceDE w:val="0"/>
        <w:autoSpaceDN w:val="0"/>
        <w:adjustRightInd w:val="0"/>
        <w:jc w:val="both"/>
        <w:rPr>
          <w:rFonts w:ascii="Verdana" w:hAnsi="Verdana" w:cs="Times New Roman"/>
        </w:rPr>
      </w:pPr>
      <w:r w:rsidRPr="00126D58">
        <w:rPr>
          <w:rFonts w:ascii="Verdana" w:hAnsi="Verdana" w:cs="Times New Roman"/>
          <w:b/>
          <w:bCs/>
        </w:rPr>
        <w:lastRenderedPageBreak/>
        <w:t>Méthodologie de gestion des prestations de l’accord-cadre </w:t>
      </w:r>
      <w:r>
        <w:rPr>
          <w:rFonts w:ascii="Verdana" w:hAnsi="Verdana" w:cs="Times New Roman"/>
        </w:rPr>
        <w:t xml:space="preserve">: </w:t>
      </w:r>
      <w:r w:rsidRPr="00126D58">
        <w:rPr>
          <w:rFonts w:ascii="Verdana" w:hAnsi="Verdana" w:cs="Times New Roman"/>
          <w:i/>
          <w:iCs/>
        </w:rPr>
        <w:t>le candidat décrira les modalités de sécurisation de la livraison des cartes et des codes confidentiels, les modalités de report des titres dématérialisés sur l’année suivante, les modalités en cas de perte, vol de la carte et de la procédure d’opposition et de remplacement de la carte.</w:t>
      </w:r>
      <w:r w:rsidR="007B1586">
        <w:rPr>
          <w:rFonts w:ascii="Verdana" w:hAnsi="Verdana" w:cs="Times New Roman"/>
          <w:i/>
          <w:iCs/>
        </w:rPr>
        <w:t>(10 points)</w:t>
      </w:r>
    </w:p>
    <w:p w14:paraId="22D85A4F" w14:textId="5ADE16A9" w:rsidR="00461709" w:rsidRPr="00126D58" w:rsidRDefault="00126D58" w:rsidP="00461709">
      <w:pPr>
        <w:pStyle w:val="Paragraphedeliste"/>
        <w:numPr>
          <w:ilvl w:val="2"/>
          <w:numId w:val="7"/>
        </w:numPr>
        <w:autoSpaceDE w:val="0"/>
        <w:autoSpaceDN w:val="0"/>
        <w:adjustRightInd w:val="0"/>
        <w:jc w:val="both"/>
        <w:rPr>
          <w:rFonts w:ascii="Verdana" w:hAnsi="Verdana" w:cs="Times New Roman"/>
          <w:i/>
          <w:iCs/>
        </w:rPr>
      </w:pPr>
      <w:r w:rsidRPr="00126D58">
        <w:rPr>
          <w:rFonts w:ascii="Verdana" w:hAnsi="Verdana" w:cs="Times New Roman"/>
          <w:b/>
          <w:bCs/>
        </w:rPr>
        <w:t>Délai d’obtention et d’abondement de la carte</w:t>
      </w:r>
      <w:r>
        <w:rPr>
          <w:rFonts w:ascii="Verdana" w:hAnsi="Verdana" w:cs="Times New Roman"/>
        </w:rPr>
        <w:t xml:space="preserve"> : </w:t>
      </w:r>
      <w:r w:rsidRPr="00126D58">
        <w:rPr>
          <w:rFonts w:ascii="Verdana" w:hAnsi="Verdana" w:cs="Times New Roman"/>
          <w:i/>
          <w:iCs/>
        </w:rPr>
        <w:t>le candidat présentera les délais d’obtention de la carte (première obtention, nouvelle commande après perte, etc…)</w:t>
      </w:r>
      <w:r>
        <w:rPr>
          <w:rFonts w:ascii="Verdana" w:hAnsi="Verdana" w:cs="Times New Roman"/>
          <w:i/>
          <w:iCs/>
        </w:rPr>
        <w:t xml:space="preserve"> ainsi que les délais relatifs à l’abondement de la carte, en respectant les mentions du CCTP, en les optimisant si possible, d’une manière réaliste.</w:t>
      </w:r>
      <w:r w:rsidR="007B1586">
        <w:rPr>
          <w:rFonts w:ascii="Verdana" w:hAnsi="Verdana" w:cs="Times New Roman"/>
          <w:i/>
          <w:iCs/>
        </w:rPr>
        <w:t xml:space="preserve"> (20 points)</w:t>
      </w:r>
    </w:p>
    <w:p w14:paraId="78F9ED71" w14:textId="560C6166" w:rsidR="00461709" w:rsidRPr="00C82E85" w:rsidRDefault="00126D58" w:rsidP="00461709">
      <w:pPr>
        <w:pStyle w:val="Paragraphedeliste"/>
        <w:numPr>
          <w:ilvl w:val="2"/>
          <w:numId w:val="7"/>
        </w:numPr>
        <w:autoSpaceDE w:val="0"/>
        <w:autoSpaceDN w:val="0"/>
        <w:adjustRightInd w:val="0"/>
        <w:jc w:val="both"/>
        <w:rPr>
          <w:rFonts w:ascii="Verdana" w:hAnsi="Verdana" w:cs="Times New Roman"/>
        </w:rPr>
      </w:pPr>
      <w:r w:rsidRPr="007B1586">
        <w:rPr>
          <w:rFonts w:ascii="Verdana" w:hAnsi="Verdana" w:cs="Times New Roman"/>
          <w:b/>
          <w:bCs/>
        </w:rPr>
        <w:t>Les partenaires et avantages proposés</w:t>
      </w:r>
      <w:r w:rsidR="007B1586">
        <w:rPr>
          <w:rFonts w:ascii="Verdana" w:hAnsi="Verdana" w:cs="Times New Roman"/>
        </w:rPr>
        <w:t xml:space="preserve"> : </w:t>
      </w:r>
      <w:r w:rsidR="007B1586" w:rsidRPr="007B1586">
        <w:rPr>
          <w:rFonts w:ascii="Verdana" w:hAnsi="Verdana" w:cs="Times New Roman"/>
          <w:i/>
          <w:iCs/>
        </w:rPr>
        <w:t>le candidat présentera les différents partenaires acceptant la carte et les offres et avantages dont les salariés pourront bénéficier en vertu de celle-ci.</w:t>
      </w:r>
      <w:r w:rsidR="007B1586">
        <w:rPr>
          <w:rFonts w:ascii="Verdana" w:hAnsi="Verdana" w:cs="Times New Roman"/>
          <w:i/>
          <w:iCs/>
        </w:rPr>
        <w:t>(10 points)</w:t>
      </w:r>
    </w:p>
    <w:p w14:paraId="77E6041E" w14:textId="35049368" w:rsidR="00100084" w:rsidRPr="007B1586" w:rsidRDefault="00100084" w:rsidP="007B1586">
      <w:pPr>
        <w:pStyle w:val="Paragraphedeliste"/>
        <w:numPr>
          <w:ilvl w:val="2"/>
          <w:numId w:val="7"/>
        </w:numPr>
        <w:autoSpaceDE w:val="0"/>
        <w:autoSpaceDN w:val="0"/>
        <w:adjustRightInd w:val="0"/>
        <w:jc w:val="both"/>
        <w:rPr>
          <w:rFonts w:ascii="Verdana" w:hAnsi="Verdana" w:cs="Times New Roman"/>
          <w:i/>
          <w:iCs/>
        </w:rPr>
      </w:pPr>
      <w:r w:rsidRPr="007B1586">
        <w:rPr>
          <w:rFonts w:ascii="Verdana" w:hAnsi="Verdana" w:cs="Times New Roman"/>
          <w:b/>
          <w:bCs/>
        </w:rPr>
        <w:t>Politique environnementale et sociale de l’entreprise</w:t>
      </w:r>
      <w:r w:rsidR="007B1586">
        <w:rPr>
          <w:rFonts w:ascii="Verdana" w:hAnsi="Verdana" w:cs="Times New Roman"/>
          <w:b/>
          <w:bCs/>
        </w:rPr>
        <w:t> </w:t>
      </w:r>
      <w:r w:rsidR="007B1586">
        <w:rPr>
          <w:rFonts w:ascii="Verdana" w:hAnsi="Verdana" w:cs="Times New Roman"/>
        </w:rPr>
        <w:t>:</w:t>
      </w:r>
      <w:r w:rsidRPr="00C82E85">
        <w:rPr>
          <w:rFonts w:ascii="Verdana" w:hAnsi="Verdana" w:cs="Times New Roman"/>
        </w:rPr>
        <w:t xml:space="preserve"> </w:t>
      </w:r>
      <w:r w:rsidRPr="007B1586">
        <w:rPr>
          <w:rFonts w:ascii="Verdana" w:hAnsi="Verdana" w:cs="Times New Roman"/>
          <w:i/>
          <w:iCs/>
        </w:rPr>
        <w:t>développement durable</w:t>
      </w:r>
      <w:r w:rsidR="007B1586">
        <w:rPr>
          <w:rFonts w:ascii="Verdana" w:hAnsi="Verdana" w:cs="Times New Roman"/>
          <w:i/>
          <w:iCs/>
        </w:rPr>
        <w:t>, p</w:t>
      </w:r>
      <w:r w:rsidRPr="007B1586">
        <w:rPr>
          <w:rFonts w:ascii="Verdana" w:hAnsi="Verdana" w:cs="Times New Roman"/>
          <w:i/>
          <w:iCs/>
        </w:rPr>
        <w:t>récision sur les démarches d’éco-responsabilité et réflexion sur le développement durable, voire le soutien de projets environnementaux (il peut être joint tout document permettant d’apprécier la politique environnementale de l’émetteur et notamment les mesures relatives au recyclage des cartes périmées ou non utilisé</w:t>
      </w:r>
      <w:r w:rsidR="009A6034" w:rsidRPr="007B1586">
        <w:rPr>
          <w:rFonts w:ascii="Verdana" w:hAnsi="Verdana" w:cs="Times New Roman"/>
          <w:i/>
          <w:iCs/>
        </w:rPr>
        <w:t>es)</w:t>
      </w:r>
      <w:r w:rsidR="007B1586">
        <w:rPr>
          <w:rFonts w:ascii="Verdana" w:hAnsi="Verdana" w:cs="Times New Roman"/>
          <w:i/>
          <w:iCs/>
        </w:rPr>
        <w:t xml:space="preserve"> (10 points)</w:t>
      </w:r>
    </w:p>
    <w:p w14:paraId="5BE6692F" w14:textId="58A09986" w:rsidR="004F2DCB" w:rsidRPr="00C82E85" w:rsidRDefault="004F2DCB" w:rsidP="004F2DCB">
      <w:pPr>
        <w:autoSpaceDE w:val="0"/>
        <w:autoSpaceDN w:val="0"/>
        <w:adjustRightInd w:val="0"/>
        <w:jc w:val="both"/>
        <w:rPr>
          <w:rFonts w:ascii="Verdana" w:hAnsi="Verdana" w:cs="Times New Roman"/>
        </w:rPr>
      </w:pPr>
    </w:p>
    <w:p w14:paraId="242E9A4D" w14:textId="5F8341D0" w:rsidR="004F2DCB" w:rsidRPr="00C82E85" w:rsidRDefault="004F2DCB" w:rsidP="004F2DCB">
      <w:pPr>
        <w:autoSpaceDE w:val="0"/>
        <w:autoSpaceDN w:val="0"/>
        <w:adjustRightInd w:val="0"/>
        <w:jc w:val="both"/>
        <w:rPr>
          <w:rFonts w:ascii="Verdana" w:hAnsi="Verdana" w:cs="Times New Roman"/>
          <w:color w:val="FF0000"/>
        </w:rPr>
      </w:pPr>
      <w:r w:rsidRPr="00C82E85">
        <w:rPr>
          <w:rFonts w:ascii="Verdana" w:hAnsi="Verdana" w:cs="Times New Roman"/>
          <w:color w:val="FF0000"/>
        </w:rPr>
        <w:t>Il est rappelé aux candidats qu’ils doivent impérativement respecter l’ordre des points pour l’élaboration du mémoire technique.</w:t>
      </w:r>
    </w:p>
    <w:p w14:paraId="49809FDB" w14:textId="66815F7C" w:rsidR="004F2DCB" w:rsidRPr="00C82E85" w:rsidRDefault="004F2DCB" w:rsidP="004F2DCB">
      <w:pPr>
        <w:autoSpaceDE w:val="0"/>
        <w:autoSpaceDN w:val="0"/>
        <w:adjustRightInd w:val="0"/>
        <w:jc w:val="both"/>
        <w:rPr>
          <w:rFonts w:ascii="Verdana" w:hAnsi="Verdana" w:cs="Times New Roman"/>
          <w:color w:val="FF0000"/>
        </w:rPr>
      </w:pPr>
    </w:p>
    <w:p w14:paraId="0C390A77" w14:textId="01B5098B" w:rsidR="004F2DCB" w:rsidRPr="00C82E85" w:rsidRDefault="004F2DCB" w:rsidP="004F2DCB">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Pièce n°3 : Le Bordereau des Prix Unitaires (BPU)</w:t>
      </w:r>
    </w:p>
    <w:p w14:paraId="193BCC73" w14:textId="7BE5C5A5" w:rsidR="00D9682B" w:rsidRPr="00C82E85" w:rsidRDefault="00D9682B" w:rsidP="00D9682B">
      <w:pPr>
        <w:autoSpaceDE w:val="0"/>
        <w:autoSpaceDN w:val="0"/>
        <w:adjustRightInd w:val="0"/>
        <w:jc w:val="both"/>
        <w:rPr>
          <w:rFonts w:ascii="Verdana" w:hAnsi="Verdana" w:cs="Times New Roman"/>
        </w:rPr>
      </w:pPr>
      <w:r w:rsidRPr="00C82E85">
        <w:rPr>
          <w:rFonts w:ascii="Verdana" w:hAnsi="Verdana" w:cs="Times New Roman"/>
          <w:b/>
          <w:bCs/>
        </w:rPr>
        <w:t>Cadre joint à compléter, dater et signer</w:t>
      </w:r>
      <w:r w:rsidRPr="00C82E85">
        <w:rPr>
          <w:rFonts w:ascii="Verdana" w:hAnsi="Verdana" w:cs="Times New Roman"/>
        </w:rPr>
        <w:t>. Il est entendu que ces prix engagent le candidat.</w:t>
      </w:r>
    </w:p>
    <w:p w14:paraId="5E476E0C" w14:textId="018D7A89" w:rsidR="00D9682B" w:rsidRPr="00C82E85" w:rsidRDefault="00D9682B" w:rsidP="00D9682B">
      <w:pPr>
        <w:autoSpaceDE w:val="0"/>
        <w:autoSpaceDN w:val="0"/>
        <w:adjustRightInd w:val="0"/>
        <w:jc w:val="both"/>
        <w:rPr>
          <w:rFonts w:ascii="Verdana" w:hAnsi="Verdana" w:cs="Times New Roman"/>
          <w:color w:val="FF0000"/>
        </w:rPr>
      </w:pPr>
      <w:r w:rsidRPr="00C82E85">
        <w:rPr>
          <w:rFonts w:ascii="Verdana" w:hAnsi="Verdana" w:cs="Times New Roman"/>
          <w:color w:val="FF0000"/>
        </w:rPr>
        <w:t>Aucune modification ne sera apportée par le candidat.</w:t>
      </w:r>
    </w:p>
    <w:p w14:paraId="2BA28621" w14:textId="150067D9" w:rsidR="00D9682B" w:rsidRPr="00C82E85" w:rsidRDefault="00D9682B" w:rsidP="00D9682B">
      <w:pPr>
        <w:autoSpaceDE w:val="0"/>
        <w:autoSpaceDN w:val="0"/>
        <w:adjustRightInd w:val="0"/>
        <w:jc w:val="both"/>
        <w:rPr>
          <w:rFonts w:ascii="Verdana" w:hAnsi="Verdana" w:cs="Times New Roman"/>
          <w:color w:val="FF0000"/>
        </w:rPr>
      </w:pPr>
    </w:p>
    <w:p w14:paraId="4B9CB63A" w14:textId="4B370361" w:rsidR="00D9682B" w:rsidRPr="00C82E85" w:rsidRDefault="00D9682B" w:rsidP="00D9682B">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Pièce n°4 : Le Devis Quantitatif Estimatif (DQE)</w:t>
      </w:r>
    </w:p>
    <w:p w14:paraId="188986D1" w14:textId="4379DD20" w:rsidR="00D9682B" w:rsidRPr="00C82E85" w:rsidRDefault="00D9682B" w:rsidP="00D9682B">
      <w:pPr>
        <w:autoSpaceDE w:val="0"/>
        <w:autoSpaceDN w:val="0"/>
        <w:adjustRightInd w:val="0"/>
        <w:jc w:val="both"/>
        <w:rPr>
          <w:rFonts w:ascii="Verdana" w:hAnsi="Verdana" w:cs="Times New Roman"/>
        </w:rPr>
      </w:pPr>
      <w:r w:rsidRPr="00C82E85">
        <w:rPr>
          <w:rFonts w:ascii="Verdana" w:hAnsi="Verdana" w:cs="Times New Roman"/>
          <w:b/>
          <w:bCs/>
        </w:rPr>
        <w:t>Cadre joint à compléter, dater et signer</w:t>
      </w:r>
      <w:r w:rsidRPr="00C82E85">
        <w:rPr>
          <w:rFonts w:ascii="Verdana" w:hAnsi="Verdana" w:cs="Times New Roman"/>
        </w:rPr>
        <w:t>.</w:t>
      </w:r>
    </w:p>
    <w:p w14:paraId="3524E7F2" w14:textId="63E30827" w:rsidR="00D9682B" w:rsidRPr="00C82E85" w:rsidRDefault="00D9682B" w:rsidP="00D9682B">
      <w:pPr>
        <w:autoSpaceDE w:val="0"/>
        <w:autoSpaceDN w:val="0"/>
        <w:adjustRightInd w:val="0"/>
        <w:jc w:val="both"/>
        <w:rPr>
          <w:rFonts w:ascii="Verdana" w:hAnsi="Verdana" w:cs="Times New Roman"/>
        </w:rPr>
      </w:pPr>
    </w:p>
    <w:p w14:paraId="17BCA6D3" w14:textId="1965A315" w:rsidR="00D9682B" w:rsidRPr="00C82E85" w:rsidRDefault="00D9682B" w:rsidP="00D9682B">
      <w:pPr>
        <w:pStyle w:val="Paragraphedeliste"/>
        <w:numPr>
          <w:ilvl w:val="0"/>
          <w:numId w:val="6"/>
        </w:numPr>
        <w:autoSpaceDE w:val="0"/>
        <w:autoSpaceDN w:val="0"/>
        <w:adjustRightInd w:val="0"/>
        <w:jc w:val="both"/>
        <w:rPr>
          <w:rFonts w:ascii="Verdana" w:hAnsi="Verdana" w:cs="Times New Roman"/>
        </w:rPr>
      </w:pPr>
      <w:r w:rsidRPr="00C82E85">
        <w:rPr>
          <w:rFonts w:ascii="Verdana" w:hAnsi="Verdana" w:cs="Times New Roman"/>
        </w:rPr>
        <w:t>Pièce n°5 : Le Cahier des Clauses Particulières (CCP)</w:t>
      </w:r>
    </w:p>
    <w:p w14:paraId="6B2E132D" w14:textId="3263D24C" w:rsidR="00D9682B" w:rsidRPr="00C82E85" w:rsidRDefault="00D9682B" w:rsidP="00D9682B">
      <w:pPr>
        <w:autoSpaceDE w:val="0"/>
        <w:autoSpaceDN w:val="0"/>
        <w:adjustRightInd w:val="0"/>
        <w:jc w:val="both"/>
        <w:rPr>
          <w:rFonts w:ascii="Verdana" w:hAnsi="Verdana" w:cs="Times New Roman"/>
        </w:rPr>
      </w:pPr>
      <w:r w:rsidRPr="00F47F8A">
        <w:rPr>
          <w:rFonts w:ascii="Verdana" w:hAnsi="Verdana" w:cs="Times New Roman"/>
          <w:b/>
          <w:bCs/>
        </w:rPr>
        <w:t>Document à dater et signer</w:t>
      </w:r>
      <w:r w:rsidRPr="00C82E85">
        <w:rPr>
          <w:rFonts w:ascii="Verdana" w:hAnsi="Verdana" w:cs="Times New Roman"/>
        </w:rPr>
        <w:t xml:space="preserve"> lors de la remise des offres. Cette pièce faisant partie intégrante du marché.</w:t>
      </w:r>
    </w:p>
    <w:p w14:paraId="3A877A09" w14:textId="7A618F98" w:rsidR="00D9682B" w:rsidRPr="00C82E85" w:rsidRDefault="00D9682B" w:rsidP="00D9682B">
      <w:pPr>
        <w:autoSpaceDE w:val="0"/>
        <w:autoSpaceDN w:val="0"/>
        <w:adjustRightInd w:val="0"/>
        <w:jc w:val="both"/>
        <w:rPr>
          <w:rFonts w:ascii="Verdana" w:hAnsi="Verdana" w:cs="Times New Roman"/>
        </w:rPr>
      </w:pPr>
    </w:p>
    <w:p w14:paraId="0BCEC2BE" w14:textId="6AB9579D" w:rsidR="00D9682B" w:rsidRPr="00C82E85" w:rsidRDefault="00D9682B" w:rsidP="00D9682B">
      <w:pPr>
        <w:autoSpaceDE w:val="0"/>
        <w:autoSpaceDN w:val="0"/>
        <w:adjustRightInd w:val="0"/>
        <w:jc w:val="both"/>
        <w:rPr>
          <w:rFonts w:ascii="Verdana" w:hAnsi="Verdana" w:cs="Times New Roman"/>
        </w:rPr>
      </w:pPr>
      <w:r w:rsidRPr="00C82E85">
        <w:rPr>
          <w:rFonts w:ascii="Verdana" w:hAnsi="Verdana" w:cs="Times New Roman"/>
        </w:rPr>
        <w:t>L’offre de l’entreprise sera entièrement rédigée en langue française ou une traduction en français sera fournie selon l’article R2143-16 du Code de la Commande Publique.</w:t>
      </w:r>
    </w:p>
    <w:p w14:paraId="636301CB" w14:textId="6848A7D4" w:rsidR="00D9682B" w:rsidRPr="00C82E85" w:rsidRDefault="00D9682B" w:rsidP="00D9682B">
      <w:pPr>
        <w:autoSpaceDE w:val="0"/>
        <w:autoSpaceDN w:val="0"/>
        <w:adjustRightInd w:val="0"/>
        <w:jc w:val="both"/>
        <w:rPr>
          <w:rFonts w:ascii="Verdana" w:hAnsi="Verdana" w:cs="Times New Roman"/>
        </w:rPr>
      </w:pPr>
    </w:p>
    <w:p w14:paraId="465B5D1C" w14:textId="69B9852E" w:rsidR="00D9682B" w:rsidRPr="00C82E85" w:rsidRDefault="00D9682B" w:rsidP="00D9682B">
      <w:pPr>
        <w:autoSpaceDE w:val="0"/>
        <w:autoSpaceDN w:val="0"/>
        <w:adjustRightInd w:val="0"/>
        <w:jc w:val="both"/>
        <w:rPr>
          <w:rFonts w:ascii="Verdana" w:hAnsi="Verdana" w:cs="Times New Roman"/>
        </w:rPr>
      </w:pPr>
      <w:r w:rsidRPr="00C82E85">
        <w:rPr>
          <w:rFonts w:ascii="Verdana" w:hAnsi="Verdana" w:cs="Times New Roman"/>
        </w:rPr>
        <w:tab/>
      </w:r>
      <w:r w:rsidRPr="00C82E85">
        <w:rPr>
          <w:rFonts w:ascii="Verdana" w:hAnsi="Verdana" w:cs="Times New Roman"/>
          <w:u w:val="single"/>
        </w:rPr>
        <w:t>3.4 – Remise d’échantillon</w:t>
      </w:r>
    </w:p>
    <w:p w14:paraId="0D372DF9" w14:textId="18EB7164" w:rsidR="00D9682B" w:rsidRPr="00C82E85" w:rsidRDefault="00D9682B" w:rsidP="00D9682B">
      <w:pPr>
        <w:autoSpaceDE w:val="0"/>
        <w:autoSpaceDN w:val="0"/>
        <w:adjustRightInd w:val="0"/>
        <w:jc w:val="both"/>
        <w:rPr>
          <w:rFonts w:ascii="Verdana" w:hAnsi="Verdana" w:cs="Times New Roman"/>
        </w:rPr>
      </w:pPr>
    </w:p>
    <w:p w14:paraId="1B69CB31" w14:textId="6240B6CA" w:rsidR="00D9682B" w:rsidRPr="00C82E85" w:rsidRDefault="00D9682B" w:rsidP="00D9682B">
      <w:pPr>
        <w:autoSpaceDE w:val="0"/>
        <w:autoSpaceDN w:val="0"/>
        <w:adjustRightInd w:val="0"/>
        <w:jc w:val="both"/>
        <w:rPr>
          <w:rFonts w:ascii="Verdana" w:hAnsi="Verdana" w:cs="Times New Roman"/>
        </w:rPr>
      </w:pPr>
      <w:r w:rsidRPr="00C82E85">
        <w:rPr>
          <w:rFonts w:ascii="Verdana" w:hAnsi="Verdana" w:cs="Times New Roman"/>
        </w:rPr>
        <w:t>Sans objet.</w:t>
      </w:r>
    </w:p>
    <w:p w14:paraId="18C8687A" w14:textId="5B5CD6AD" w:rsidR="00D9682B" w:rsidRPr="00C82E85" w:rsidRDefault="00D9682B" w:rsidP="00D9682B">
      <w:pPr>
        <w:autoSpaceDE w:val="0"/>
        <w:autoSpaceDN w:val="0"/>
        <w:adjustRightInd w:val="0"/>
        <w:jc w:val="both"/>
        <w:rPr>
          <w:rFonts w:ascii="Verdana" w:hAnsi="Verdana" w:cs="Times New Roman"/>
        </w:rPr>
      </w:pPr>
    </w:p>
    <w:p w14:paraId="13A49A32" w14:textId="18DDCE7C" w:rsidR="00D9682B" w:rsidRPr="00C82E85" w:rsidRDefault="00D9682B" w:rsidP="00D9682B">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3.5 – Audition des candidats</w:t>
      </w:r>
    </w:p>
    <w:p w14:paraId="10471755" w14:textId="1256D8C5" w:rsidR="00D9682B" w:rsidRPr="00C82E85" w:rsidRDefault="00D9682B" w:rsidP="00D9682B">
      <w:pPr>
        <w:autoSpaceDE w:val="0"/>
        <w:autoSpaceDN w:val="0"/>
        <w:adjustRightInd w:val="0"/>
        <w:jc w:val="both"/>
        <w:rPr>
          <w:rFonts w:ascii="Verdana" w:hAnsi="Verdana" w:cs="Times New Roman"/>
          <w:u w:val="single"/>
        </w:rPr>
      </w:pPr>
    </w:p>
    <w:p w14:paraId="28C6BC95" w14:textId="67B16109" w:rsidR="00D9682B" w:rsidRPr="00C82E85" w:rsidRDefault="00D9682B" w:rsidP="00D9682B">
      <w:pPr>
        <w:autoSpaceDE w:val="0"/>
        <w:autoSpaceDN w:val="0"/>
        <w:adjustRightInd w:val="0"/>
        <w:jc w:val="both"/>
        <w:rPr>
          <w:rFonts w:ascii="Verdana" w:hAnsi="Verdana" w:cs="Times New Roman"/>
        </w:rPr>
      </w:pPr>
      <w:r w:rsidRPr="00C82E85">
        <w:rPr>
          <w:rFonts w:ascii="Verdana" w:hAnsi="Verdana" w:cs="Times New Roman"/>
        </w:rPr>
        <w:t>Sans objet.</w:t>
      </w:r>
    </w:p>
    <w:p w14:paraId="1AE48790" w14:textId="52DDF15C" w:rsidR="00D9682B" w:rsidRDefault="00D9682B" w:rsidP="00D9682B">
      <w:pPr>
        <w:autoSpaceDE w:val="0"/>
        <w:autoSpaceDN w:val="0"/>
        <w:adjustRightInd w:val="0"/>
        <w:jc w:val="both"/>
        <w:rPr>
          <w:rFonts w:ascii="Verdana" w:hAnsi="Verdana" w:cs="Times New Roman"/>
        </w:rPr>
      </w:pPr>
    </w:p>
    <w:p w14:paraId="278138A8" w14:textId="23673D87" w:rsidR="00C82E85" w:rsidRDefault="00C82E85" w:rsidP="00D9682B">
      <w:pPr>
        <w:autoSpaceDE w:val="0"/>
        <w:autoSpaceDN w:val="0"/>
        <w:adjustRightInd w:val="0"/>
        <w:jc w:val="both"/>
        <w:rPr>
          <w:rFonts w:ascii="Verdana" w:hAnsi="Verdana" w:cs="Times New Roman"/>
        </w:rPr>
      </w:pPr>
    </w:p>
    <w:p w14:paraId="4AB03C3C" w14:textId="66039B9E" w:rsidR="00C82E85" w:rsidRDefault="00C82E85" w:rsidP="00D9682B">
      <w:pPr>
        <w:autoSpaceDE w:val="0"/>
        <w:autoSpaceDN w:val="0"/>
        <w:adjustRightInd w:val="0"/>
        <w:jc w:val="both"/>
        <w:rPr>
          <w:rFonts w:ascii="Verdana" w:hAnsi="Verdana" w:cs="Times New Roman"/>
        </w:rPr>
      </w:pPr>
    </w:p>
    <w:p w14:paraId="6F93A675" w14:textId="77777777" w:rsidR="007B1586" w:rsidRDefault="007B1586" w:rsidP="00D9682B">
      <w:pPr>
        <w:autoSpaceDE w:val="0"/>
        <w:autoSpaceDN w:val="0"/>
        <w:adjustRightInd w:val="0"/>
        <w:jc w:val="both"/>
        <w:rPr>
          <w:rFonts w:ascii="Verdana" w:hAnsi="Verdana" w:cs="Times New Roman"/>
        </w:rPr>
      </w:pPr>
    </w:p>
    <w:p w14:paraId="72891F54" w14:textId="77777777" w:rsidR="007B1586" w:rsidRDefault="007B1586" w:rsidP="00D9682B">
      <w:pPr>
        <w:autoSpaceDE w:val="0"/>
        <w:autoSpaceDN w:val="0"/>
        <w:adjustRightInd w:val="0"/>
        <w:jc w:val="both"/>
        <w:rPr>
          <w:rFonts w:ascii="Verdana" w:hAnsi="Verdana" w:cs="Times New Roman"/>
        </w:rPr>
      </w:pPr>
    </w:p>
    <w:p w14:paraId="0B6C4C59" w14:textId="77777777" w:rsidR="007B1586" w:rsidRDefault="007B1586" w:rsidP="00D9682B">
      <w:pPr>
        <w:autoSpaceDE w:val="0"/>
        <w:autoSpaceDN w:val="0"/>
        <w:adjustRightInd w:val="0"/>
        <w:jc w:val="both"/>
        <w:rPr>
          <w:rFonts w:ascii="Verdana" w:hAnsi="Verdana" w:cs="Times New Roman"/>
        </w:rPr>
      </w:pPr>
    </w:p>
    <w:p w14:paraId="3375E3BA" w14:textId="4CAE1C8E" w:rsidR="00C82E85" w:rsidRDefault="00C82E85" w:rsidP="00D9682B">
      <w:pPr>
        <w:autoSpaceDE w:val="0"/>
        <w:autoSpaceDN w:val="0"/>
        <w:adjustRightInd w:val="0"/>
        <w:jc w:val="both"/>
        <w:rPr>
          <w:rFonts w:ascii="Verdana" w:hAnsi="Verdana" w:cs="Times New Roman"/>
        </w:rPr>
      </w:pPr>
    </w:p>
    <w:p w14:paraId="4E8A4016" w14:textId="28C9774B" w:rsidR="00C82E85" w:rsidRDefault="00C82E85" w:rsidP="00D9682B">
      <w:pPr>
        <w:autoSpaceDE w:val="0"/>
        <w:autoSpaceDN w:val="0"/>
        <w:adjustRightInd w:val="0"/>
        <w:jc w:val="both"/>
        <w:rPr>
          <w:rFonts w:ascii="Verdana" w:hAnsi="Verdana" w:cs="Times New Roman"/>
        </w:rPr>
      </w:pPr>
    </w:p>
    <w:p w14:paraId="53F22FEB" w14:textId="77777777" w:rsidR="00C82E85" w:rsidRPr="00C82E85" w:rsidRDefault="00C82E85" w:rsidP="00D9682B">
      <w:pPr>
        <w:autoSpaceDE w:val="0"/>
        <w:autoSpaceDN w:val="0"/>
        <w:adjustRightInd w:val="0"/>
        <w:jc w:val="both"/>
        <w:rPr>
          <w:rFonts w:ascii="Verdana" w:hAnsi="Verdana" w:cs="Times New Roman"/>
        </w:rPr>
      </w:pPr>
    </w:p>
    <w:p w14:paraId="1EF0B6A3" w14:textId="795AC3E0" w:rsidR="00D9682B" w:rsidRPr="00C82E85" w:rsidRDefault="00D9682B" w:rsidP="00D9682B">
      <w:pPr>
        <w:autoSpaceDE w:val="0"/>
        <w:autoSpaceDN w:val="0"/>
        <w:adjustRightInd w:val="0"/>
        <w:jc w:val="both"/>
        <w:rPr>
          <w:rFonts w:ascii="Verdana" w:hAnsi="Verdana" w:cs="Times New Roman"/>
          <w:b/>
          <w:bCs/>
          <w:u w:val="single"/>
        </w:rPr>
      </w:pPr>
      <w:r w:rsidRPr="00C82E85">
        <w:rPr>
          <w:rFonts w:ascii="Verdana" w:hAnsi="Verdana" w:cs="Times New Roman"/>
          <w:b/>
          <w:bCs/>
          <w:u w:val="single"/>
        </w:rPr>
        <w:lastRenderedPageBreak/>
        <w:t>4 – EXAMEN ET ANALYSE DES CANDIDATURES ET DES OFFRES</w:t>
      </w:r>
    </w:p>
    <w:p w14:paraId="2A1970F9" w14:textId="2D0FB908" w:rsidR="00D9682B" w:rsidRPr="00C82E85" w:rsidRDefault="00D9682B" w:rsidP="00D9682B">
      <w:pPr>
        <w:autoSpaceDE w:val="0"/>
        <w:autoSpaceDN w:val="0"/>
        <w:adjustRightInd w:val="0"/>
        <w:jc w:val="both"/>
        <w:rPr>
          <w:rFonts w:ascii="Verdana" w:hAnsi="Verdana" w:cs="Times New Roman"/>
          <w:b/>
          <w:bCs/>
          <w:u w:val="single"/>
        </w:rPr>
      </w:pPr>
    </w:p>
    <w:p w14:paraId="4F3A20B4" w14:textId="31548ADC" w:rsidR="00D9682B" w:rsidRPr="00C82E85" w:rsidRDefault="00D9682B" w:rsidP="00D9682B">
      <w:pPr>
        <w:autoSpaceDE w:val="0"/>
        <w:autoSpaceDN w:val="0"/>
        <w:adjustRightInd w:val="0"/>
        <w:jc w:val="both"/>
        <w:rPr>
          <w:rFonts w:ascii="Verdana" w:hAnsi="Verdana" w:cs="Times New Roman"/>
          <w:u w:val="single"/>
        </w:rPr>
      </w:pPr>
      <w:r w:rsidRPr="00C82E85">
        <w:rPr>
          <w:rFonts w:ascii="Verdana" w:hAnsi="Verdana" w:cs="Times New Roman"/>
        </w:rPr>
        <w:tab/>
      </w:r>
      <w:r w:rsidRPr="00C82E85">
        <w:rPr>
          <w:rFonts w:ascii="Verdana" w:hAnsi="Verdana" w:cs="Times New Roman"/>
          <w:u w:val="single"/>
        </w:rPr>
        <w:t>4.1 – Critères de sélection des candidatures</w:t>
      </w:r>
    </w:p>
    <w:p w14:paraId="135FD6B1" w14:textId="5EBC03B0" w:rsidR="00D9682B" w:rsidRPr="00C82E85" w:rsidRDefault="00D9682B" w:rsidP="00D9682B">
      <w:pPr>
        <w:autoSpaceDE w:val="0"/>
        <w:autoSpaceDN w:val="0"/>
        <w:adjustRightInd w:val="0"/>
        <w:jc w:val="both"/>
        <w:rPr>
          <w:rFonts w:ascii="Verdana" w:hAnsi="Verdana" w:cs="Times New Roman"/>
          <w:u w:val="single"/>
        </w:rPr>
      </w:pPr>
    </w:p>
    <w:p w14:paraId="6DE66A66" w14:textId="01066C34" w:rsidR="00D9682B" w:rsidRPr="00C82E85" w:rsidRDefault="00D9682B" w:rsidP="00D9682B">
      <w:pPr>
        <w:autoSpaceDE w:val="0"/>
        <w:autoSpaceDN w:val="0"/>
        <w:adjustRightInd w:val="0"/>
        <w:jc w:val="both"/>
        <w:rPr>
          <w:rFonts w:ascii="Verdana" w:hAnsi="Verdana" w:cs="Times New Roman"/>
        </w:rPr>
      </w:pPr>
      <w:r w:rsidRPr="00C82E85">
        <w:rPr>
          <w:rFonts w:ascii="Verdana" w:hAnsi="Verdana" w:cs="Times New Roman"/>
        </w:rPr>
        <w:t>Les candidatures seront sélectionnées au regard des pièces demandées à l’article 3.2 du présent règlement de la consultation, et sur la base des niveaux minimaux de capacités professionnelles, techniques en cohérence avec l’objet du marché.</w:t>
      </w:r>
    </w:p>
    <w:p w14:paraId="6E71B5F1" w14:textId="1B5DE174" w:rsidR="00D9682B" w:rsidRPr="00C82E85" w:rsidRDefault="00D9682B" w:rsidP="00D9682B">
      <w:pPr>
        <w:autoSpaceDE w:val="0"/>
        <w:autoSpaceDN w:val="0"/>
        <w:adjustRightInd w:val="0"/>
        <w:jc w:val="both"/>
        <w:rPr>
          <w:rFonts w:ascii="Verdana" w:hAnsi="Verdana" w:cs="Times New Roman"/>
        </w:rPr>
      </w:pPr>
    </w:p>
    <w:p w14:paraId="7B9EEABD" w14:textId="1C1D37A9" w:rsidR="00D9682B" w:rsidRPr="00C82E85" w:rsidRDefault="008504A5" w:rsidP="00D9682B">
      <w:pPr>
        <w:autoSpaceDE w:val="0"/>
        <w:autoSpaceDN w:val="0"/>
        <w:adjustRightInd w:val="0"/>
        <w:jc w:val="both"/>
        <w:rPr>
          <w:rFonts w:ascii="Verdana" w:hAnsi="Verdana" w:cs="Times New Roman"/>
        </w:rPr>
      </w:pPr>
      <w:r w:rsidRPr="00C82E85">
        <w:rPr>
          <w:rFonts w:ascii="Verdana" w:hAnsi="Verdana" w:cs="Times New Roman"/>
        </w:rPr>
        <w:t>Dans le cas de pièces manquantes, le pouvoir adjudicateur pourra demander à tous les candidats de compléter leur dossier de candidature, selon l’article R2144-2 et R2144-6 du Code de la Commande Publique.</w:t>
      </w:r>
    </w:p>
    <w:p w14:paraId="27ED114F" w14:textId="4CBDBF0B" w:rsidR="008504A5" w:rsidRPr="00C82E85" w:rsidRDefault="008504A5" w:rsidP="00D9682B">
      <w:pPr>
        <w:autoSpaceDE w:val="0"/>
        <w:autoSpaceDN w:val="0"/>
        <w:adjustRightInd w:val="0"/>
        <w:jc w:val="both"/>
        <w:rPr>
          <w:rFonts w:ascii="Verdana" w:hAnsi="Verdana" w:cs="Times New Roman"/>
        </w:rPr>
      </w:pPr>
    </w:p>
    <w:p w14:paraId="6E990BF1" w14:textId="7E7C1B1F" w:rsidR="008504A5" w:rsidRPr="00C82E85" w:rsidRDefault="00A81B91" w:rsidP="00D9682B">
      <w:pPr>
        <w:autoSpaceDE w:val="0"/>
        <w:autoSpaceDN w:val="0"/>
        <w:adjustRightInd w:val="0"/>
        <w:jc w:val="both"/>
        <w:rPr>
          <w:rFonts w:ascii="Verdana" w:hAnsi="Verdana" w:cs="Times New Roman"/>
        </w:rPr>
      </w:pPr>
      <w:r>
        <w:rPr>
          <w:rFonts w:ascii="Verdana" w:hAnsi="Verdana" w:cs="Times New Roman"/>
        </w:rPr>
        <w:t>À</w:t>
      </w:r>
      <w:r w:rsidR="008504A5" w:rsidRPr="00C82E85">
        <w:rPr>
          <w:rFonts w:ascii="Verdana" w:hAnsi="Verdana" w:cs="Times New Roman"/>
        </w:rPr>
        <w:t xml:space="preserve"> l’issue de l’analyse, certaines candidatures pourront être éliminées si elles ne présentent pas les niveaux minimaux de capacités professionnelles et techniques.</w:t>
      </w:r>
    </w:p>
    <w:p w14:paraId="4AD4F51C" w14:textId="77777777" w:rsidR="008504A5" w:rsidRPr="00C82E85" w:rsidRDefault="008504A5" w:rsidP="00D9682B">
      <w:pPr>
        <w:autoSpaceDE w:val="0"/>
        <w:autoSpaceDN w:val="0"/>
        <w:adjustRightInd w:val="0"/>
        <w:jc w:val="both"/>
        <w:rPr>
          <w:rFonts w:ascii="Verdana" w:hAnsi="Verdana" w:cs="Times New Roman"/>
        </w:rPr>
      </w:pPr>
    </w:p>
    <w:p w14:paraId="4D760670" w14:textId="77777777" w:rsidR="008504A5" w:rsidRPr="00C82E85" w:rsidRDefault="008504A5" w:rsidP="00D9682B">
      <w:pPr>
        <w:autoSpaceDE w:val="0"/>
        <w:autoSpaceDN w:val="0"/>
        <w:adjustRightInd w:val="0"/>
        <w:jc w:val="both"/>
        <w:rPr>
          <w:rFonts w:ascii="Verdana" w:hAnsi="Verdana" w:cs="Times New Roman"/>
          <w:color w:val="FF0000"/>
        </w:rPr>
      </w:pPr>
      <w:r w:rsidRPr="00C82E85">
        <w:rPr>
          <w:rFonts w:ascii="Verdana" w:hAnsi="Verdana" w:cs="Times New Roman"/>
        </w:rPr>
        <w:tab/>
      </w:r>
      <w:r w:rsidRPr="00C82E85">
        <w:rPr>
          <w:rFonts w:ascii="Verdana" w:hAnsi="Verdana" w:cs="Times New Roman"/>
          <w:u w:val="single"/>
        </w:rPr>
        <w:t>4.2 – Jugement des offres</w:t>
      </w:r>
    </w:p>
    <w:p w14:paraId="498DD6C4" w14:textId="77777777" w:rsidR="008504A5" w:rsidRPr="00C82E85" w:rsidRDefault="008504A5" w:rsidP="00D9682B">
      <w:pPr>
        <w:autoSpaceDE w:val="0"/>
        <w:autoSpaceDN w:val="0"/>
        <w:adjustRightInd w:val="0"/>
        <w:jc w:val="both"/>
        <w:rPr>
          <w:rFonts w:ascii="Verdana" w:hAnsi="Verdana" w:cs="Times New Roman"/>
          <w:color w:val="FF0000"/>
        </w:rPr>
      </w:pPr>
    </w:p>
    <w:p w14:paraId="2656DD71" w14:textId="164AFE81" w:rsidR="008504A5" w:rsidRPr="00C82E85" w:rsidRDefault="008504A5" w:rsidP="00D9682B">
      <w:pPr>
        <w:autoSpaceDE w:val="0"/>
        <w:autoSpaceDN w:val="0"/>
        <w:adjustRightInd w:val="0"/>
        <w:jc w:val="both"/>
        <w:rPr>
          <w:rFonts w:ascii="Verdana" w:hAnsi="Verdana" w:cs="Times New Roman"/>
        </w:rPr>
      </w:pPr>
      <w:r w:rsidRPr="00C82E85">
        <w:rPr>
          <w:rFonts w:ascii="Verdana" w:hAnsi="Verdana" w:cs="Times New Roman"/>
        </w:rPr>
        <w:t>Le jugement des offres sera effectué dans les conditions prévues aux articles R2152-6 et R2152-7 du Code de la Commande Publique.</w:t>
      </w:r>
    </w:p>
    <w:p w14:paraId="561264BE" w14:textId="1AAFAA9D" w:rsidR="008504A5" w:rsidRPr="00C82E85" w:rsidRDefault="008504A5" w:rsidP="00D9682B">
      <w:pPr>
        <w:autoSpaceDE w:val="0"/>
        <w:autoSpaceDN w:val="0"/>
        <w:adjustRightInd w:val="0"/>
        <w:jc w:val="both"/>
        <w:rPr>
          <w:rFonts w:ascii="Verdana" w:hAnsi="Verdana" w:cs="Times New Roman"/>
        </w:rPr>
      </w:pPr>
    </w:p>
    <w:p w14:paraId="6030F77D" w14:textId="453F976B" w:rsidR="008504A5" w:rsidRPr="00C82E85" w:rsidRDefault="008504A5" w:rsidP="00D9682B">
      <w:pPr>
        <w:autoSpaceDE w:val="0"/>
        <w:autoSpaceDN w:val="0"/>
        <w:adjustRightInd w:val="0"/>
        <w:jc w:val="both"/>
        <w:rPr>
          <w:rFonts w:ascii="Verdana" w:hAnsi="Verdana" w:cs="Times New Roman"/>
        </w:rPr>
      </w:pPr>
      <w:r w:rsidRPr="00C82E85">
        <w:rPr>
          <w:rFonts w:ascii="Verdana" w:hAnsi="Verdana" w:cs="Times New Roman"/>
        </w:rPr>
        <w:t>Chaque offre du candidat se verra attribu</w:t>
      </w:r>
      <w:r w:rsidR="00A81B91">
        <w:rPr>
          <w:rFonts w:ascii="Verdana" w:hAnsi="Verdana" w:cs="Times New Roman"/>
        </w:rPr>
        <w:t>er</w:t>
      </w:r>
      <w:r w:rsidRPr="00C82E85">
        <w:rPr>
          <w:rFonts w:ascii="Verdana" w:hAnsi="Verdana" w:cs="Times New Roman"/>
        </w:rPr>
        <w:t xml:space="preserve"> une note</w:t>
      </w:r>
      <w:r w:rsidR="00020782" w:rsidRPr="00C82E85">
        <w:rPr>
          <w:rFonts w:ascii="Verdana" w:hAnsi="Verdana" w:cs="Times New Roman"/>
        </w:rPr>
        <w:t xml:space="preserve"> sur 100</w:t>
      </w:r>
      <w:r w:rsidRPr="00C82E85">
        <w:rPr>
          <w:rFonts w:ascii="Verdana" w:hAnsi="Verdana" w:cs="Times New Roman"/>
        </w:rPr>
        <w:t xml:space="preserve"> pour les critères suivants :</w:t>
      </w:r>
    </w:p>
    <w:p w14:paraId="3D29A83F" w14:textId="022842C5" w:rsidR="008504A5" w:rsidRPr="00C82E85" w:rsidRDefault="008504A5" w:rsidP="00D9682B">
      <w:pPr>
        <w:autoSpaceDE w:val="0"/>
        <w:autoSpaceDN w:val="0"/>
        <w:adjustRightInd w:val="0"/>
        <w:jc w:val="both"/>
        <w:rPr>
          <w:rFonts w:ascii="Verdana" w:hAnsi="Verdana" w:cs="Times New Roman"/>
        </w:rPr>
      </w:pPr>
    </w:p>
    <w:tbl>
      <w:tblPr>
        <w:tblStyle w:val="Grilledutableau"/>
        <w:tblW w:w="0" w:type="auto"/>
        <w:tblLook w:val="04A0" w:firstRow="1" w:lastRow="0" w:firstColumn="1" w:lastColumn="0" w:noHBand="0" w:noVBand="1"/>
      </w:tblPr>
      <w:tblGrid>
        <w:gridCol w:w="959"/>
        <w:gridCol w:w="8253"/>
      </w:tblGrid>
      <w:tr w:rsidR="008504A5" w:rsidRPr="00C82E85" w14:paraId="3EA87BC4" w14:textId="77777777" w:rsidTr="008504A5">
        <w:tc>
          <w:tcPr>
            <w:tcW w:w="959" w:type="dxa"/>
          </w:tcPr>
          <w:p w14:paraId="782BA38F" w14:textId="7EB610FC" w:rsidR="008504A5" w:rsidRPr="00C82E85" w:rsidRDefault="008504A5" w:rsidP="00D9682B">
            <w:pPr>
              <w:autoSpaceDE w:val="0"/>
              <w:autoSpaceDN w:val="0"/>
              <w:adjustRightInd w:val="0"/>
              <w:jc w:val="both"/>
              <w:rPr>
                <w:rFonts w:ascii="Verdana" w:hAnsi="Verdana" w:cs="Times New Roman"/>
              </w:rPr>
            </w:pPr>
            <w:r w:rsidRPr="00C82E85">
              <w:rPr>
                <w:rFonts w:ascii="Verdana" w:hAnsi="Verdana" w:cs="Times New Roman"/>
              </w:rPr>
              <w:t>Rang</w:t>
            </w:r>
          </w:p>
        </w:tc>
        <w:tc>
          <w:tcPr>
            <w:tcW w:w="8253" w:type="dxa"/>
          </w:tcPr>
          <w:p w14:paraId="3D2E921F" w14:textId="1F76CE7D" w:rsidR="008504A5" w:rsidRPr="00C82E85" w:rsidRDefault="008504A5" w:rsidP="00D9682B">
            <w:pPr>
              <w:autoSpaceDE w:val="0"/>
              <w:autoSpaceDN w:val="0"/>
              <w:adjustRightInd w:val="0"/>
              <w:jc w:val="both"/>
              <w:rPr>
                <w:rFonts w:ascii="Verdana" w:hAnsi="Verdana" w:cs="Times New Roman"/>
              </w:rPr>
            </w:pPr>
          </w:p>
        </w:tc>
      </w:tr>
      <w:tr w:rsidR="008504A5" w:rsidRPr="00C82E85" w14:paraId="27F27504" w14:textId="77777777" w:rsidTr="008504A5">
        <w:tc>
          <w:tcPr>
            <w:tcW w:w="959" w:type="dxa"/>
          </w:tcPr>
          <w:p w14:paraId="60A0D323" w14:textId="29B69759" w:rsidR="008504A5" w:rsidRPr="00C82E85" w:rsidRDefault="008504A5" w:rsidP="008504A5">
            <w:pPr>
              <w:autoSpaceDE w:val="0"/>
              <w:autoSpaceDN w:val="0"/>
              <w:adjustRightInd w:val="0"/>
              <w:jc w:val="center"/>
              <w:rPr>
                <w:rFonts w:ascii="Verdana" w:hAnsi="Verdana" w:cs="Times New Roman"/>
              </w:rPr>
            </w:pPr>
            <w:r w:rsidRPr="00C82E85">
              <w:rPr>
                <w:rFonts w:ascii="Verdana" w:hAnsi="Verdana" w:cs="Times New Roman"/>
              </w:rPr>
              <w:t>1</w:t>
            </w:r>
          </w:p>
        </w:tc>
        <w:tc>
          <w:tcPr>
            <w:tcW w:w="8253" w:type="dxa"/>
          </w:tcPr>
          <w:p w14:paraId="14D0C3C1" w14:textId="5E191CD5" w:rsidR="008504A5" w:rsidRPr="00C82E85" w:rsidRDefault="008504A5" w:rsidP="00D9682B">
            <w:pPr>
              <w:autoSpaceDE w:val="0"/>
              <w:autoSpaceDN w:val="0"/>
              <w:adjustRightInd w:val="0"/>
              <w:jc w:val="both"/>
              <w:rPr>
                <w:rFonts w:ascii="Verdana" w:hAnsi="Verdana" w:cs="Times New Roman"/>
              </w:rPr>
            </w:pPr>
            <w:r w:rsidRPr="00C82E85">
              <w:rPr>
                <w:rFonts w:ascii="Verdana" w:hAnsi="Verdana" w:cs="Times New Roman"/>
              </w:rPr>
              <w:t xml:space="preserve">Le prix des prestations : </w:t>
            </w:r>
            <w:r w:rsidR="009A6034" w:rsidRPr="00C82E85">
              <w:rPr>
                <w:rFonts w:ascii="Verdana" w:hAnsi="Verdana" w:cs="Times New Roman"/>
              </w:rPr>
              <w:t>4</w:t>
            </w:r>
            <w:r w:rsidR="0018433C" w:rsidRPr="00C82E85">
              <w:rPr>
                <w:rFonts w:ascii="Verdana" w:hAnsi="Verdana" w:cs="Times New Roman"/>
              </w:rPr>
              <w:t>0</w:t>
            </w:r>
            <w:r w:rsidR="00020782" w:rsidRPr="00C82E85">
              <w:rPr>
                <w:rFonts w:ascii="Verdana" w:hAnsi="Verdana" w:cs="Times New Roman"/>
              </w:rPr>
              <w:t xml:space="preserve"> points</w:t>
            </w:r>
          </w:p>
        </w:tc>
      </w:tr>
      <w:tr w:rsidR="008504A5" w:rsidRPr="00C82E85" w14:paraId="17C1F04B" w14:textId="77777777" w:rsidTr="008504A5">
        <w:tc>
          <w:tcPr>
            <w:tcW w:w="959" w:type="dxa"/>
          </w:tcPr>
          <w:p w14:paraId="1B7FF33F" w14:textId="5CD8F84A" w:rsidR="008504A5" w:rsidRPr="00C82E85" w:rsidRDefault="008504A5" w:rsidP="008504A5">
            <w:pPr>
              <w:autoSpaceDE w:val="0"/>
              <w:autoSpaceDN w:val="0"/>
              <w:adjustRightInd w:val="0"/>
              <w:jc w:val="center"/>
              <w:rPr>
                <w:rFonts w:ascii="Verdana" w:hAnsi="Verdana" w:cs="Times New Roman"/>
              </w:rPr>
            </w:pPr>
            <w:r w:rsidRPr="00C82E85">
              <w:rPr>
                <w:rFonts w:ascii="Verdana" w:hAnsi="Verdana" w:cs="Times New Roman"/>
              </w:rPr>
              <w:t>2</w:t>
            </w:r>
          </w:p>
        </w:tc>
        <w:tc>
          <w:tcPr>
            <w:tcW w:w="8253" w:type="dxa"/>
          </w:tcPr>
          <w:p w14:paraId="16A374BB" w14:textId="599C083D" w:rsidR="008504A5" w:rsidRPr="00C82E85" w:rsidRDefault="008504A5" w:rsidP="00D9682B">
            <w:pPr>
              <w:autoSpaceDE w:val="0"/>
              <w:autoSpaceDN w:val="0"/>
              <w:adjustRightInd w:val="0"/>
              <w:jc w:val="both"/>
              <w:rPr>
                <w:rFonts w:ascii="Verdana" w:hAnsi="Verdana" w:cs="Times New Roman"/>
              </w:rPr>
            </w:pPr>
            <w:r w:rsidRPr="00C82E85">
              <w:rPr>
                <w:rFonts w:ascii="Verdana" w:hAnsi="Verdana" w:cs="Times New Roman"/>
              </w:rPr>
              <w:t xml:space="preserve">La valeur technique de l’offre sera jugée sur la base du mémoire technique : </w:t>
            </w:r>
            <w:r w:rsidR="009A6034" w:rsidRPr="00C82E85">
              <w:rPr>
                <w:rFonts w:ascii="Verdana" w:hAnsi="Verdana" w:cs="Times New Roman"/>
              </w:rPr>
              <w:t>6</w:t>
            </w:r>
            <w:r w:rsidR="0018433C" w:rsidRPr="00C82E85">
              <w:rPr>
                <w:rFonts w:ascii="Verdana" w:hAnsi="Verdana" w:cs="Times New Roman"/>
              </w:rPr>
              <w:t>0</w:t>
            </w:r>
            <w:r w:rsidR="00020782" w:rsidRPr="00C82E85">
              <w:rPr>
                <w:rFonts w:ascii="Verdana" w:hAnsi="Verdana" w:cs="Times New Roman"/>
              </w:rPr>
              <w:t xml:space="preserve"> points</w:t>
            </w:r>
          </w:p>
        </w:tc>
      </w:tr>
    </w:tbl>
    <w:p w14:paraId="5D9636C9" w14:textId="77777777" w:rsidR="008504A5" w:rsidRPr="00C82E85" w:rsidRDefault="008504A5" w:rsidP="00D9682B">
      <w:pPr>
        <w:autoSpaceDE w:val="0"/>
        <w:autoSpaceDN w:val="0"/>
        <w:adjustRightInd w:val="0"/>
        <w:jc w:val="both"/>
        <w:rPr>
          <w:rFonts w:ascii="Verdana" w:hAnsi="Verdana" w:cs="Times New Roman"/>
        </w:rPr>
      </w:pPr>
    </w:p>
    <w:p w14:paraId="0C15B84F" w14:textId="5C1EDDE7" w:rsidR="00D12DB3" w:rsidRPr="004B72FA" w:rsidRDefault="00D12DB3" w:rsidP="00D12DB3">
      <w:pPr>
        <w:autoSpaceDE w:val="0"/>
        <w:autoSpaceDN w:val="0"/>
        <w:adjustRightInd w:val="0"/>
        <w:jc w:val="both"/>
        <w:rPr>
          <w:rFonts w:ascii="Verdana" w:hAnsi="Verdana" w:cs="Times New Roman"/>
        </w:rPr>
      </w:pPr>
      <w:r w:rsidRPr="004B72FA">
        <w:rPr>
          <w:rFonts w:ascii="Verdana" w:hAnsi="Verdana" w:cs="Times New Roman"/>
        </w:rPr>
        <w:t>Au vu des critères, l’offre la mieux classée sera retenue.</w:t>
      </w:r>
    </w:p>
    <w:p w14:paraId="098AACB3" w14:textId="11B465BA" w:rsidR="00AE48B5" w:rsidRDefault="00AE48B5" w:rsidP="00B62BC5">
      <w:pPr>
        <w:autoSpaceDE w:val="0"/>
        <w:autoSpaceDN w:val="0"/>
        <w:adjustRightInd w:val="0"/>
        <w:jc w:val="both"/>
        <w:rPr>
          <w:rFonts w:ascii="Verdana" w:hAnsi="Verdana" w:cs="Times New Roman"/>
        </w:rPr>
      </w:pPr>
    </w:p>
    <w:p w14:paraId="50AF3BA7" w14:textId="77777777" w:rsidR="00A06EA9" w:rsidRPr="00C82E85" w:rsidRDefault="00A06EA9" w:rsidP="00B62BC5">
      <w:pPr>
        <w:autoSpaceDE w:val="0"/>
        <w:autoSpaceDN w:val="0"/>
        <w:adjustRightInd w:val="0"/>
        <w:jc w:val="both"/>
        <w:rPr>
          <w:rFonts w:ascii="Verdana" w:hAnsi="Verdana" w:cs="Times New Roman"/>
        </w:rPr>
      </w:pPr>
    </w:p>
    <w:p w14:paraId="2C9635FC" w14:textId="23499855" w:rsidR="00034461" w:rsidRPr="00C82E85" w:rsidRDefault="009A6034" w:rsidP="005F6429">
      <w:pPr>
        <w:autoSpaceDE w:val="0"/>
        <w:autoSpaceDN w:val="0"/>
        <w:adjustRightInd w:val="0"/>
        <w:jc w:val="both"/>
        <w:rPr>
          <w:rFonts w:ascii="Verdana" w:hAnsi="Verdana" w:cs="Times New Roman"/>
        </w:rPr>
      </w:pPr>
      <w:r w:rsidRPr="00C82E85">
        <w:rPr>
          <w:rFonts w:ascii="Verdana" w:hAnsi="Verdana" w:cs="Times New Roman"/>
          <w:b/>
          <w:bCs/>
          <w:u w:val="single"/>
        </w:rPr>
        <w:t>Critère 1 : Prix des prestations</w:t>
      </w:r>
    </w:p>
    <w:p w14:paraId="5965BB63" w14:textId="6E3C5A97" w:rsidR="009A6034" w:rsidRPr="00C82E85" w:rsidRDefault="009A6034" w:rsidP="005F6429">
      <w:pPr>
        <w:autoSpaceDE w:val="0"/>
        <w:autoSpaceDN w:val="0"/>
        <w:adjustRightInd w:val="0"/>
        <w:jc w:val="both"/>
        <w:rPr>
          <w:rFonts w:ascii="Verdana" w:hAnsi="Verdana" w:cs="Times New Roman"/>
        </w:rPr>
      </w:pPr>
      <w:r w:rsidRPr="00C82E85">
        <w:rPr>
          <w:rFonts w:ascii="Verdana" w:hAnsi="Verdana" w:cs="Times New Roman"/>
        </w:rPr>
        <w:t>Le prix sera analysé au regard des coûts issus du Devis Quantitatif Estimatif (DQE)</w:t>
      </w:r>
    </w:p>
    <w:p w14:paraId="08951EE3" w14:textId="77777777" w:rsidR="009A6034" w:rsidRPr="00C82E85" w:rsidRDefault="009A6034" w:rsidP="005F6429">
      <w:pPr>
        <w:autoSpaceDE w:val="0"/>
        <w:autoSpaceDN w:val="0"/>
        <w:adjustRightInd w:val="0"/>
        <w:jc w:val="both"/>
        <w:rPr>
          <w:rFonts w:ascii="Verdana" w:hAnsi="Verdana" w:cs="Times New Roman"/>
        </w:rPr>
      </w:pPr>
      <w:r w:rsidRPr="00C82E85">
        <w:rPr>
          <w:rFonts w:ascii="Verdana" w:hAnsi="Verdana" w:cs="Times New Roman"/>
        </w:rPr>
        <w:t>Le candidat ayant l’offre financière la mieux-disante se verra attribuer une note définitive sur le critère financier de 40, les autres offres obtenant une note égale à :</w:t>
      </w:r>
    </w:p>
    <w:p w14:paraId="21CA2A00" w14:textId="77777777" w:rsidR="009A6034" w:rsidRPr="00C82E85" w:rsidRDefault="009A6034" w:rsidP="005F6429">
      <w:pPr>
        <w:autoSpaceDE w:val="0"/>
        <w:autoSpaceDN w:val="0"/>
        <w:adjustRightInd w:val="0"/>
        <w:jc w:val="both"/>
        <w:rPr>
          <w:rFonts w:ascii="Verdana" w:hAnsi="Verdana" w:cs="Times New Roman"/>
        </w:rPr>
      </w:pPr>
    </w:p>
    <w:p w14:paraId="1C6C565B" w14:textId="0E8885EB" w:rsidR="009A6034" w:rsidRPr="00C82E85" w:rsidRDefault="009A6034" w:rsidP="005F6429">
      <w:pPr>
        <w:autoSpaceDE w:val="0"/>
        <w:autoSpaceDN w:val="0"/>
        <w:adjustRightInd w:val="0"/>
        <w:jc w:val="both"/>
        <w:rPr>
          <w:rFonts w:ascii="Verdana" w:hAnsi="Verdana" w:cs="Times New Roman"/>
        </w:rPr>
      </w:pPr>
      <w:r w:rsidRPr="00C82E85">
        <w:rPr>
          <w:rFonts w:ascii="Verdana" w:hAnsi="Verdana" w:cs="Times New Roman"/>
        </w:rPr>
        <w:tab/>
      </w:r>
      <w:r w:rsidRPr="00C82E85">
        <w:rPr>
          <w:rFonts w:ascii="Verdana" w:hAnsi="Verdana" w:cs="Times New Roman"/>
        </w:rPr>
        <w:tab/>
      </w:r>
      <w:r w:rsidRPr="00C82E85">
        <w:rPr>
          <w:rFonts w:ascii="Verdana" w:hAnsi="Verdana" w:cs="Times New Roman"/>
        </w:rPr>
        <w:tab/>
      </w:r>
      <w:r w:rsidRPr="00C82E85">
        <w:rPr>
          <w:rFonts w:ascii="Verdana" w:hAnsi="Verdana" w:cs="Times New Roman"/>
        </w:rPr>
        <w:tab/>
      </w:r>
      <w:r w:rsidR="00FD7545" w:rsidRPr="00C82E85">
        <w:rPr>
          <w:rFonts w:ascii="Verdana" w:hAnsi="Verdana" w:cs="Times New Roman"/>
        </w:rPr>
        <w:t xml:space="preserve"> </w:t>
      </w:r>
      <w:r w:rsidRPr="00C82E85">
        <w:rPr>
          <w:rFonts w:ascii="Verdana" w:hAnsi="Verdana" w:cs="Times New Roman"/>
        </w:rPr>
        <w:t>40</w:t>
      </w:r>
      <w:r w:rsidR="00FD7545" w:rsidRPr="00C82E85">
        <w:rPr>
          <w:rFonts w:ascii="Verdana" w:hAnsi="Verdana" w:cs="Times New Roman"/>
        </w:rPr>
        <w:t xml:space="preserve"> x Meilleure offre financière</w:t>
      </w:r>
      <w:r w:rsidRPr="00C82E85">
        <w:rPr>
          <w:rFonts w:ascii="Verdana" w:hAnsi="Verdana" w:cs="Times New Roman"/>
        </w:rPr>
        <w:t xml:space="preserve"> </w:t>
      </w:r>
    </w:p>
    <w:p w14:paraId="0D8F9005" w14:textId="06EB5E2D" w:rsidR="00FD7545" w:rsidRPr="00C82E85" w:rsidRDefault="008723E1" w:rsidP="005F6429">
      <w:pPr>
        <w:autoSpaceDE w:val="0"/>
        <w:autoSpaceDN w:val="0"/>
        <w:adjustRightInd w:val="0"/>
        <w:jc w:val="both"/>
        <w:rPr>
          <w:rFonts w:ascii="Verdana" w:hAnsi="Verdana" w:cs="Times New Roman"/>
        </w:rPr>
      </w:pPr>
      <w:r>
        <w:rPr>
          <w:rFonts w:ascii="Verdana" w:hAnsi="Verdana" w:cs="Times New Roman"/>
          <w:noProof/>
        </w:rPr>
        <w:pict w14:anchorId="2AB8AB91">
          <v:shapetype id="_x0000_t32" coordsize="21600,21600" o:spt="32" o:oned="t" path="m,l21600,21600e" filled="f">
            <v:path arrowok="t" fillok="f" o:connecttype="none"/>
            <o:lock v:ext="edit" shapetype="t"/>
          </v:shapetype>
          <v:shape id="_x0000_s1026" type="#_x0000_t32" style="position:absolute;left:0;text-align:left;margin-left:139.9pt;margin-top:8pt;width:180pt;height:0;z-index:251658240" o:connectortype="straight"/>
        </w:pict>
      </w:r>
    </w:p>
    <w:p w14:paraId="7FC4950C" w14:textId="26864A3C" w:rsidR="00FD7545" w:rsidRPr="00C82E85" w:rsidRDefault="00FD7545" w:rsidP="005F6429">
      <w:pPr>
        <w:autoSpaceDE w:val="0"/>
        <w:autoSpaceDN w:val="0"/>
        <w:adjustRightInd w:val="0"/>
        <w:jc w:val="both"/>
        <w:rPr>
          <w:rFonts w:ascii="Verdana" w:hAnsi="Verdana" w:cs="Times New Roman"/>
        </w:rPr>
      </w:pPr>
      <w:r w:rsidRPr="00C82E85">
        <w:rPr>
          <w:rFonts w:ascii="Verdana" w:hAnsi="Verdana" w:cs="Times New Roman"/>
        </w:rPr>
        <w:tab/>
      </w:r>
      <w:r w:rsidRPr="00C82E85">
        <w:rPr>
          <w:rFonts w:ascii="Verdana" w:hAnsi="Verdana" w:cs="Times New Roman"/>
        </w:rPr>
        <w:tab/>
      </w:r>
      <w:r w:rsidRPr="00C82E85">
        <w:rPr>
          <w:rFonts w:ascii="Verdana" w:hAnsi="Verdana" w:cs="Times New Roman"/>
        </w:rPr>
        <w:tab/>
      </w:r>
      <w:r w:rsidRPr="00C82E85">
        <w:rPr>
          <w:rFonts w:ascii="Verdana" w:hAnsi="Verdana" w:cs="Times New Roman"/>
        </w:rPr>
        <w:tab/>
        <w:t xml:space="preserve">    Offre financière à analyser</w:t>
      </w:r>
    </w:p>
    <w:p w14:paraId="6A9C569D" w14:textId="6D906083" w:rsidR="00FD7545" w:rsidRDefault="00FD7545" w:rsidP="005F6429">
      <w:pPr>
        <w:autoSpaceDE w:val="0"/>
        <w:autoSpaceDN w:val="0"/>
        <w:adjustRightInd w:val="0"/>
        <w:jc w:val="both"/>
        <w:rPr>
          <w:rFonts w:ascii="Verdana" w:hAnsi="Verdana" w:cs="Times New Roman"/>
        </w:rPr>
      </w:pPr>
    </w:p>
    <w:p w14:paraId="56D3828A" w14:textId="77777777" w:rsidR="00A06EA9" w:rsidRDefault="00A06EA9" w:rsidP="005F6429">
      <w:pPr>
        <w:autoSpaceDE w:val="0"/>
        <w:autoSpaceDN w:val="0"/>
        <w:adjustRightInd w:val="0"/>
        <w:jc w:val="both"/>
        <w:rPr>
          <w:rFonts w:ascii="Verdana" w:hAnsi="Verdana" w:cs="Times New Roman"/>
        </w:rPr>
      </w:pPr>
    </w:p>
    <w:p w14:paraId="72C154DB" w14:textId="77777777" w:rsidR="007B1586" w:rsidRDefault="007B1586" w:rsidP="005F6429">
      <w:pPr>
        <w:autoSpaceDE w:val="0"/>
        <w:autoSpaceDN w:val="0"/>
        <w:adjustRightInd w:val="0"/>
        <w:jc w:val="both"/>
        <w:rPr>
          <w:rFonts w:ascii="Verdana" w:hAnsi="Verdana" w:cs="Times New Roman"/>
        </w:rPr>
      </w:pPr>
    </w:p>
    <w:p w14:paraId="49C63E73" w14:textId="77777777" w:rsidR="007B1586" w:rsidRPr="00C82E85" w:rsidRDefault="007B1586" w:rsidP="005F6429">
      <w:pPr>
        <w:autoSpaceDE w:val="0"/>
        <w:autoSpaceDN w:val="0"/>
        <w:adjustRightInd w:val="0"/>
        <w:jc w:val="both"/>
        <w:rPr>
          <w:rFonts w:ascii="Verdana" w:hAnsi="Verdana" w:cs="Times New Roman"/>
        </w:rPr>
      </w:pPr>
    </w:p>
    <w:p w14:paraId="2CD94FE3" w14:textId="1804A11D" w:rsidR="00FD7545" w:rsidRPr="00C82E85" w:rsidRDefault="00FD7545" w:rsidP="005F6429">
      <w:pPr>
        <w:autoSpaceDE w:val="0"/>
        <w:autoSpaceDN w:val="0"/>
        <w:adjustRightInd w:val="0"/>
        <w:jc w:val="both"/>
        <w:rPr>
          <w:rFonts w:ascii="Verdana" w:hAnsi="Verdana" w:cs="Times New Roman"/>
          <w:b/>
          <w:bCs/>
          <w:u w:val="single"/>
        </w:rPr>
      </w:pPr>
      <w:r w:rsidRPr="00C82E85">
        <w:rPr>
          <w:rFonts w:ascii="Verdana" w:hAnsi="Verdana" w:cs="Times New Roman"/>
          <w:b/>
          <w:bCs/>
          <w:u w:val="single"/>
        </w:rPr>
        <w:t>Critère 2 : Valeur technique</w:t>
      </w:r>
    </w:p>
    <w:p w14:paraId="04A5A3EA" w14:textId="7426773F" w:rsidR="00AB2464" w:rsidRPr="00C82E85" w:rsidRDefault="00AB2464" w:rsidP="005F6429">
      <w:pPr>
        <w:autoSpaceDE w:val="0"/>
        <w:autoSpaceDN w:val="0"/>
        <w:adjustRightInd w:val="0"/>
        <w:jc w:val="both"/>
        <w:rPr>
          <w:rFonts w:ascii="Verdana" w:hAnsi="Verdana" w:cs="Times New Roman"/>
        </w:rPr>
      </w:pPr>
      <w:r w:rsidRPr="00C82E85">
        <w:rPr>
          <w:rFonts w:ascii="Verdana" w:hAnsi="Verdana" w:cs="Times New Roman"/>
        </w:rPr>
        <w:t>Ce critère sera évalué sur la base des éléments suivants :</w:t>
      </w:r>
    </w:p>
    <w:p w14:paraId="02B98EF2" w14:textId="281D5040" w:rsidR="00AB2464" w:rsidRPr="004B72FA" w:rsidRDefault="007B1586" w:rsidP="00AB2464">
      <w:pPr>
        <w:pStyle w:val="Paragraphedeliste"/>
        <w:numPr>
          <w:ilvl w:val="0"/>
          <w:numId w:val="6"/>
        </w:numPr>
        <w:autoSpaceDE w:val="0"/>
        <w:autoSpaceDN w:val="0"/>
        <w:adjustRightInd w:val="0"/>
        <w:jc w:val="both"/>
        <w:rPr>
          <w:rFonts w:ascii="Verdana" w:hAnsi="Verdana" w:cs="Times New Roman"/>
        </w:rPr>
      </w:pPr>
      <w:r>
        <w:rPr>
          <w:rFonts w:ascii="Verdana" w:hAnsi="Verdana" w:cs="Times New Roman"/>
        </w:rPr>
        <w:t>Moyens humains dédiés à l’exécution des missions</w:t>
      </w:r>
      <w:r w:rsidR="00AB2464" w:rsidRPr="00C82E85">
        <w:rPr>
          <w:rFonts w:ascii="Verdana" w:hAnsi="Verdana" w:cs="Times New Roman"/>
        </w:rPr>
        <w:t xml:space="preserve"> </w:t>
      </w:r>
      <w:r w:rsidR="00AB2464" w:rsidRPr="004B72FA">
        <w:rPr>
          <w:rFonts w:ascii="Verdana" w:hAnsi="Verdana" w:cs="Times New Roman"/>
        </w:rPr>
        <w:t>(</w:t>
      </w:r>
      <w:r w:rsidR="0018433C" w:rsidRPr="004B72FA">
        <w:rPr>
          <w:rFonts w:ascii="Verdana" w:hAnsi="Verdana" w:cs="Times New Roman"/>
        </w:rPr>
        <w:t>10</w:t>
      </w:r>
      <w:r w:rsidR="00AB2464" w:rsidRPr="004B72FA">
        <w:rPr>
          <w:rFonts w:ascii="Verdana" w:hAnsi="Verdana" w:cs="Times New Roman"/>
        </w:rPr>
        <w:t xml:space="preserve"> points)</w:t>
      </w:r>
    </w:p>
    <w:p w14:paraId="0C9C2154" w14:textId="7956849B" w:rsidR="00AB2464" w:rsidRPr="004B72FA" w:rsidRDefault="007B1586" w:rsidP="00AB2464">
      <w:pPr>
        <w:pStyle w:val="Paragraphedeliste"/>
        <w:numPr>
          <w:ilvl w:val="0"/>
          <w:numId w:val="6"/>
        </w:numPr>
        <w:autoSpaceDE w:val="0"/>
        <w:autoSpaceDN w:val="0"/>
        <w:adjustRightInd w:val="0"/>
        <w:jc w:val="both"/>
        <w:rPr>
          <w:rFonts w:ascii="Verdana" w:hAnsi="Verdana" w:cs="Times New Roman"/>
        </w:rPr>
      </w:pPr>
      <w:r>
        <w:rPr>
          <w:rFonts w:ascii="Verdana" w:hAnsi="Verdana" w:cs="Times New Roman"/>
        </w:rPr>
        <w:t>Méthodologie de gestion des prestations de l’accord-cadre</w:t>
      </w:r>
      <w:r w:rsidR="00AB2464" w:rsidRPr="004B72FA">
        <w:rPr>
          <w:rFonts w:ascii="Verdana" w:hAnsi="Verdana" w:cs="Times New Roman"/>
        </w:rPr>
        <w:t xml:space="preserve"> (</w:t>
      </w:r>
      <w:r w:rsidR="0018433C" w:rsidRPr="004B72FA">
        <w:rPr>
          <w:rFonts w:ascii="Verdana" w:hAnsi="Verdana" w:cs="Times New Roman"/>
        </w:rPr>
        <w:t>10</w:t>
      </w:r>
      <w:r w:rsidR="00AB2464" w:rsidRPr="004B72FA">
        <w:rPr>
          <w:rFonts w:ascii="Verdana" w:hAnsi="Verdana" w:cs="Times New Roman"/>
        </w:rPr>
        <w:t xml:space="preserve"> points)</w:t>
      </w:r>
    </w:p>
    <w:p w14:paraId="50D0C51B" w14:textId="7F4216FB" w:rsidR="00AB2464" w:rsidRPr="004B72FA" w:rsidRDefault="007B1586" w:rsidP="00AB2464">
      <w:pPr>
        <w:pStyle w:val="Paragraphedeliste"/>
        <w:numPr>
          <w:ilvl w:val="0"/>
          <w:numId w:val="6"/>
        </w:numPr>
        <w:autoSpaceDE w:val="0"/>
        <w:autoSpaceDN w:val="0"/>
        <w:adjustRightInd w:val="0"/>
        <w:jc w:val="both"/>
        <w:rPr>
          <w:rFonts w:ascii="Verdana" w:hAnsi="Verdana" w:cs="Times New Roman"/>
        </w:rPr>
      </w:pPr>
      <w:r>
        <w:rPr>
          <w:rFonts w:ascii="Verdana" w:hAnsi="Verdana" w:cs="Times New Roman"/>
        </w:rPr>
        <w:t>Délai d’obtention et d’abondement de la carte</w:t>
      </w:r>
      <w:r w:rsidR="00AB2464" w:rsidRPr="004B72FA">
        <w:rPr>
          <w:rFonts w:ascii="Verdana" w:hAnsi="Verdana" w:cs="Times New Roman"/>
        </w:rPr>
        <w:t xml:space="preserve"> (</w:t>
      </w:r>
      <w:r>
        <w:rPr>
          <w:rFonts w:ascii="Verdana" w:hAnsi="Verdana" w:cs="Times New Roman"/>
        </w:rPr>
        <w:t>2</w:t>
      </w:r>
      <w:r w:rsidR="0018433C" w:rsidRPr="004B72FA">
        <w:rPr>
          <w:rFonts w:ascii="Verdana" w:hAnsi="Verdana" w:cs="Times New Roman"/>
        </w:rPr>
        <w:t>0</w:t>
      </w:r>
      <w:r w:rsidR="00AB2464" w:rsidRPr="004B72FA">
        <w:rPr>
          <w:rFonts w:ascii="Verdana" w:hAnsi="Verdana" w:cs="Times New Roman"/>
        </w:rPr>
        <w:t xml:space="preserve"> points)</w:t>
      </w:r>
    </w:p>
    <w:p w14:paraId="603CBE6A" w14:textId="00452394" w:rsidR="00AB2464" w:rsidRPr="004B72FA" w:rsidRDefault="007B1586" w:rsidP="00AB2464">
      <w:pPr>
        <w:pStyle w:val="Paragraphedeliste"/>
        <w:numPr>
          <w:ilvl w:val="0"/>
          <w:numId w:val="6"/>
        </w:numPr>
        <w:autoSpaceDE w:val="0"/>
        <w:autoSpaceDN w:val="0"/>
        <w:adjustRightInd w:val="0"/>
        <w:jc w:val="both"/>
        <w:rPr>
          <w:rFonts w:ascii="Verdana" w:hAnsi="Verdana" w:cs="Times New Roman"/>
        </w:rPr>
      </w:pPr>
      <w:r>
        <w:rPr>
          <w:rFonts w:ascii="Verdana" w:hAnsi="Verdana" w:cs="Times New Roman"/>
        </w:rPr>
        <w:t xml:space="preserve">Les partenaires et avantages </w:t>
      </w:r>
      <w:r w:rsidR="00AB2464" w:rsidRPr="004B72FA">
        <w:rPr>
          <w:rFonts w:ascii="Verdana" w:hAnsi="Verdana" w:cs="Times New Roman"/>
        </w:rPr>
        <w:t>proposés (</w:t>
      </w:r>
      <w:r>
        <w:rPr>
          <w:rFonts w:ascii="Verdana" w:hAnsi="Verdana" w:cs="Times New Roman"/>
        </w:rPr>
        <w:t>1</w:t>
      </w:r>
      <w:r w:rsidR="0018433C" w:rsidRPr="004B72FA">
        <w:rPr>
          <w:rFonts w:ascii="Verdana" w:hAnsi="Verdana" w:cs="Times New Roman"/>
        </w:rPr>
        <w:t>0</w:t>
      </w:r>
      <w:r w:rsidR="00AB2464" w:rsidRPr="004B72FA">
        <w:rPr>
          <w:rFonts w:ascii="Verdana" w:hAnsi="Verdana" w:cs="Times New Roman"/>
        </w:rPr>
        <w:t xml:space="preserve"> points)</w:t>
      </w:r>
    </w:p>
    <w:p w14:paraId="0F097852" w14:textId="69F4510D" w:rsidR="00A06EA9" w:rsidRPr="007B1586" w:rsidRDefault="00AB2464" w:rsidP="005F6429">
      <w:pPr>
        <w:pStyle w:val="Paragraphedeliste"/>
        <w:numPr>
          <w:ilvl w:val="0"/>
          <w:numId w:val="6"/>
        </w:numPr>
        <w:autoSpaceDE w:val="0"/>
        <w:autoSpaceDN w:val="0"/>
        <w:adjustRightInd w:val="0"/>
        <w:jc w:val="both"/>
        <w:rPr>
          <w:rFonts w:ascii="Verdana" w:hAnsi="Verdana" w:cs="Times New Roman"/>
        </w:rPr>
      </w:pPr>
      <w:r w:rsidRPr="004B72FA">
        <w:rPr>
          <w:rFonts w:ascii="Verdana" w:hAnsi="Verdana" w:cs="Times New Roman"/>
        </w:rPr>
        <w:t>Politique environnementale et sociale de l’entreprise (</w:t>
      </w:r>
      <w:r w:rsidR="00050803" w:rsidRPr="004B72FA">
        <w:rPr>
          <w:rFonts w:ascii="Verdana" w:hAnsi="Verdana" w:cs="Times New Roman"/>
        </w:rPr>
        <w:t>1</w:t>
      </w:r>
      <w:r w:rsidR="0018433C" w:rsidRPr="004B72FA">
        <w:rPr>
          <w:rFonts w:ascii="Verdana" w:hAnsi="Verdana" w:cs="Times New Roman"/>
        </w:rPr>
        <w:t>0</w:t>
      </w:r>
      <w:r w:rsidRPr="004B72FA">
        <w:rPr>
          <w:rFonts w:ascii="Verdana" w:hAnsi="Verdana" w:cs="Times New Roman"/>
        </w:rPr>
        <w:t xml:space="preserve"> points)</w:t>
      </w:r>
    </w:p>
    <w:p w14:paraId="7BB7AF45" w14:textId="77777777" w:rsidR="00A06EA9" w:rsidRDefault="00A06EA9" w:rsidP="005F6429">
      <w:pPr>
        <w:autoSpaceDE w:val="0"/>
        <w:autoSpaceDN w:val="0"/>
        <w:adjustRightInd w:val="0"/>
        <w:jc w:val="both"/>
        <w:rPr>
          <w:rFonts w:ascii="Verdana" w:hAnsi="Verdana" w:cs="Times New Roman"/>
        </w:rPr>
      </w:pPr>
    </w:p>
    <w:p w14:paraId="24DD9349" w14:textId="77777777" w:rsidR="007B1586" w:rsidRDefault="007B1586" w:rsidP="005F6429">
      <w:pPr>
        <w:autoSpaceDE w:val="0"/>
        <w:autoSpaceDN w:val="0"/>
        <w:adjustRightInd w:val="0"/>
        <w:jc w:val="both"/>
        <w:rPr>
          <w:rFonts w:ascii="Verdana" w:hAnsi="Verdana" w:cs="Times New Roman"/>
        </w:rPr>
      </w:pPr>
    </w:p>
    <w:p w14:paraId="298909AA" w14:textId="77777777" w:rsidR="007B1586" w:rsidRDefault="007B1586" w:rsidP="005F6429">
      <w:pPr>
        <w:autoSpaceDE w:val="0"/>
        <w:autoSpaceDN w:val="0"/>
        <w:adjustRightInd w:val="0"/>
        <w:jc w:val="both"/>
        <w:rPr>
          <w:rFonts w:ascii="Verdana" w:hAnsi="Verdana" w:cs="Times New Roman"/>
        </w:rPr>
      </w:pPr>
    </w:p>
    <w:p w14:paraId="24773B99" w14:textId="77777777" w:rsidR="007B1586" w:rsidRDefault="007B1586" w:rsidP="005F6429">
      <w:pPr>
        <w:autoSpaceDE w:val="0"/>
        <w:autoSpaceDN w:val="0"/>
        <w:adjustRightInd w:val="0"/>
        <w:jc w:val="both"/>
        <w:rPr>
          <w:rFonts w:ascii="Verdana" w:hAnsi="Verdana" w:cs="Times New Roman"/>
        </w:rPr>
      </w:pPr>
    </w:p>
    <w:p w14:paraId="6F12B59C" w14:textId="77777777" w:rsidR="007B1586" w:rsidRDefault="007B1586" w:rsidP="005F6429">
      <w:pPr>
        <w:autoSpaceDE w:val="0"/>
        <w:autoSpaceDN w:val="0"/>
        <w:adjustRightInd w:val="0"/>
        <w:jc w:val="both"/>
        <w:rPr>
          <w:rFonts w:ascii="Verdana" w:hAnsi="Verdana" w:cs="Times New Roman"/>
        </w:rPr>
      </w:pPr>
    </w:p>
    <w:p w14:paraId="6AAC2616" w14:textId="77777777" w:rsidR="007B1586" w:rsidRDefault="007B1586" w:rsidP="005F6429">
      <w:pPr>
        <w:autoSpaceDE w:val="0"/>
        <w:autoSpaceDN w:val="0"/>
        <w:adjustRightInd w:val="0"/>
        <w:jc w:val="both"/>
        <w:rPr>
          <w:rFonts w:ascii="Verdana" w:hAnsi="Verdana" w:cs="Times New Roman"/>
        </w:rPr>
      </w:pPr>
    </w:p>
    <w:p w14:paraId="0D7FED59" w14:textId="77777777" w:rsidR="007B1586" w:rsidRDefault="007B1586" w:rsidP="005F6429">
      <w:pPr>
        <w:autoSpaceDE w:val="0"/>
        <w:autoSpaceDN w:val="0"/>
        <w:adjustRightInd w:val="0"/>
        <w:jc w:val="both"/>
        <w:rPr>
          <w:rFonts w:ascii="Verdana" w:hAnsi="Verdana" w:cs="Times New Roman"/>
        </w:rPr>
      </w:pPr>
    </w:p>
    <w:p w14:paraId="495EC545" w14:textId="77777777" w:rsidR="007B1586" w:rsidRDefault="007B1586" w:rsidP="005F6429">
      <w:pPr>
        <w:autoSpaceDE w:val="0"/>
        <w:autoSpaceDN w:val="0"/>
        <w:adjustRightInd w:val="0"/>
        <w:jc w:val="both"/>
        <w:rPr>
          <w:rFonts w:ascii="Verdana" w:hAnsi="Verdana" w:cs="Times New Roman"/>
        </w:rPr>
      </w:pPr>
    </w:p>
    <w:p w14:paraId="736D1DBE" w14:textId="77777777" w:rsidR="007B1586" w:rsidRDefault="007B1586" w:rsidP="005F6429">
      <w:pPr>
        <w:autoSpaceDE w:val="0"/>
        <w:autoSpaceDN w:val="0"/>
        <w:adjustRightInd w:val="0"/>
        <w:jc w:val="both"/>
        <w:rPr>
          <w:rFonts w:ascii="Verdana" w:hAnsi="Verdana" w:cs="Times New Roman"/>
        </w:rPr>
      </w:pPr>
    </w:p>
    <w:p w14:paraId="49D9518F" w14:textId="79598E5E" w:rsidR="00AB45E5" w:rsidRPr="00C82E85" w:rsidRDefault="00906AF8" w:rsidP="005F6429">
      <w:pPr>
        <w:autoSpaceDE w:val="0"/>
        <w:autoSpaceDN w:val="0"/>
        <w:adjustRightInd w:val="0"/>
        <w:jc w:val="both"/>
        <w:rPr>
          <w:rFonts w:ascii="Verdana" w:hAnsi="Verdana" w:cs="Times New Roman"/>
        </w:rPr>
      </w:pPr>
      <w:r w:rsidRPr="00C82E85">
        <w:rPr>
          <w:rFonts w:ascii="Verdana" w:hAnsi="Verdana" w:cs="Times New Roman"/>
        </w:rPr>
        <w:t xml:space="preserve">La méthode de calcul est la suivante : </w:t>
      </w:r>
    </w:p>
    <w:p w14:paraId="39817200" w14:textId="35FF4EB4" w:rsidR="001D5187" w:rsidRDefault="001D5187" w:rsidP="005F6429">
      <w:pPr>
        <w:autoSpaceDE w:val="0"/>
        <w:autoSpaceDN w:val="0"/>
        <w:adjustRightInd w:val="0"/>
        <w:jc w:val="both"/>
        <w:rPr>
          <w:rFonts w:ascii="Verdana" w:hAnsi="Verdana" w:cs="Times New Roman"/>
          <w:b/>
          <w:bCs/>
          <w:sz w:val="22"/>
          <w:szCs w:val="22"/>
          <w:u w:val="single"/>
        </w:rPr>
      </w:pPr>
    </w:p>
    <w:tbl>
      <w:tblPr>
        <w:tblStyle w:val="Grilledutableau"/>
        <w:tblW w:w="9924" w:type="dxa"/>
        <w:tblInd w:w="-318" w:type="dxa"/>
        <w:tblLook w:val="04A0" w:firstRow="1" w:lastRow="0" w:firstColumn="1" w:lastColumn="0" w:noHBand="0" w:noVBand="1"/>
      </w:tblPr>
      <w:tblGrid>
        <w:gridCol w:w="1986"/>
        <w:gridCol w:w="1984"/>
        <w:gridCol w:w="5954"/>
      </w:tblGrid>
      <w:tr w:rsidR="001D5187" w14:paraId="05906C5B" w14:textId="77777777" w:rsidTr="00B767DA">
        <w:tc>
          <w:tcPr>
            <w:tcW w:w="1986" w:type="dxa"/>
            <w:shd w:val="clear" w:color="auto" w:fill="BFBFBF" w:themeFill="background1" w:themeFillShade="BF"/>
          </w:tcPr>
          <w:p w14:paraId="76A185D3" w14:textId="47317CC2" w:rsidR="001D5187" w:rsidRDefault="001D5187" w:rsidP="00B767DA">
            <w:pPr>
              <w:autoSpaceDE w:val="0"/>
              <w:autoSpaceDN w:val="0"/>
              <w:adjustRightInd w:val="0"/>
              <w:jc w:val="both"/>
              <w:rPr>
                <w:rFonts w:ascii="Verdana" w:hAnsi="Verdana" w:cs="Times New Roman"/>
                <w:sz w:val="22"/>
                <w:szCs w:val="22"/>
              </w:rPr>
            </w:pPr>
            <w:r>
              <w:rPr>
                <w:rFonts w:ascii="Verdana" w:hAnsi="Verdana" w:cs="Times New Roman"/>
                <w:sz w:val="22"/>
                <w:szCs w:val="22"/>
              </w:rPr>
              <w:t>Notation /20</w:t>
            </w:r>
          </w:p>
        </w:tc>
        <w:tc>
          <w:tcPr>
            <w:tcW w:w="1984" w:type="dxa"/>
            <w:shd w:val="clear" w:color="auto" w:fill="BFBFBF" w:themeFill="background1" w:themeFillShade="BF"/>
          </w:tcPr>
          <w:p w14:paraId="2D97F434" w14:textId="77777777" w:rsidR="001D5187" w:rsidRDefault="001D5187" w:rsidP="00B767DA">
            <w:pPr>
              <w:autoSpaceDE w:val="0"/>
              <w:autoSpaceDN w:val="0"/>
              <w:adjustRightInd w:val="0"/>
              <w:jc w:val="both"/>
              <w:rPr>
                <w:rFonts w:ascii="Verdana" w:hAnsi="Verdana" w:cs="Times New Roman"/>
                <w:sz w:val="22"/>
                <w:szCs w:val="22"/>
              </w:rPr>
            </w:pPr>
            <w:r>
              <w:rPr>
                <w:rFonts w:ascii="Verdana" w:hAnsi="Verdana" w:cs="Times New Roman"/>
                <w:sz w:val="22"/>
                <w:szCs w:val="22"/>
              </w:rPr>
              <w:t>Appréciations</w:t>
            </w:r>
          </w:p>
        </w:tc>
        <w:tc>
          <w:tcPr>
            <w:tcW w:w="5954" w:type="dxa"/>
            <w:shd w:val="clear" w:color="auto" w:fill="BFBFBF" w:themeFill="background1" w:themeFillShade="BF"/>
          </w:tcPr>
          <w:p w14:paraId="39802ECE" w14:textId="77777777" w:rsidR="001D5187" w:rsidRDefault="001D5187" w:rsidP="00B767DA">
            <w:pPr>
              <w:autoSpaceDE w:val="0"/>
              <w:autoSpaceDN w:val="0"/>
              <w:adjustRightInd w:val="0"/>
              <w:jc w:val="both"/>
              <w:rPr>
                <w:rFonts w:ascii="Verdana" w:hAnsi="Verdana" w:cs="Times New Roman"/>
                <w:sz w:val="22"/>
                <w:szCs w:val="22"/>
              </w:rPr>
            </w:pPr>
            <w:r>
              <w:rPr>
                <w:rFonts w:ascii="Verdana" w:hAnsi="Verdana" w:cs="Times New Roman"/>
                <w:sz w:val="22"/>
                <w:szCs w:val="22"/>
              </w:rPr>
              <w:t>Commentaires</w:t>
            </w:r>
          </w:p>
        </w:tc>
      </w:tr>
      <w:tr w:rsidR="001D5187" w14:paraId="5E6C3092" w14:textId="77777777" w:rsidTr="00B767DA">
        <w:tc>
          <w:tcPr>
            <w:tcW w:w="1986" w:type="dxa"/>
          </w:tcPr>
          <w:p w14:paraId="10999888" w14:textId="279A0CA5" w:rsidR="00B44962" w:rsidRPr="004300CA" w:rsidRDefault="00B44962" w:rsidP="00B767DA">
            <w:pPr>
              <w:autoSpaceDE w:val="0"/>
              <w:autoSpaceDN w:val="0"/>
              <w:adjustRightInd w:val="0"/>
              <w:jc w:val="both"/>
              <w:rPr>
                <w:rFonts w:ascii="Verdana" w:hAnsi="Verdana" w:cs="Times New Roman"/>
              </w:rPr>
            </w:pPr>
            <w:r>
              <w:rPr>
                <w:rFonts w:ascii="Verdana" w:hAnsi="Verdana" w:cs="Times New Roman"/>
              </w:rPr>
              <w:t>20</w:t>
            </w:r>
          </w:p>
        </w:tc>
        <w:tc>
          <w:tcPr>
            <w:tcW w:w="1984" w:type="dxa"/>
          </w:tcPr>
          <w:p w14:paraId="6F7D5918"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Très satisfaisant</w:t>
            </w:r>
          </w:p>
        </w:tc>
        <w:tc>
          <w:tcPr>
            <w:tcW w:w="5954" w:type="dxa"/>
          </w:tcPr>
          <w:p w14:paraId="36CFD6B2" w14:textId="364D7B4D"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La proposition fourni</w:t>
            </w:r>
            <w:r w:rsidR="00A81B91">
              <w:rPr>
                <w:rFonts w:ascii="Verdana" w:hAnsi="Verdana" w:cs="Times New Roman"/>
              </w:rPr>
              <w:t>t</w:t>
            </w:r>
            <w:r w:rsidRPr="004300CA">
              <w:rPr>
                <w:rFonts w:ascii="Verdana" w:hAnsi="Verdana" w:cs="Times New Roman"/>
              </w:rPr>
              <w:t xml:space="preserve"> des éléments précis, détaillés et optimaux et répond à toutes les exigences qualitatives attendues pour réaliser l’objet du marché</w:t>
            </w:r>
          </w:p>
        </w:tc>
      </w:tr>
      <w:tr w:rsidR="001D5187" w14:paraId="4BCB3ACE" w14:textId="77777777" w:rsidTr="00B767DA">
        <w:tc>
          <w:tcPr>
            <w:tcW w:w="1986" w:type="dxa"/>
          </w:tcPr>
          <w:p w14:paraId="77903CEF" w14:textId="4D218F92" w:rsidR="00B44962" w:rsidRPr="004300CA" w:rsidRDefault="00B44962" w:rsidP="00B767DA">
            <w:pPr>
              <w:autoSpaceDE w:val="0"/>
              <w:autoSpaceDN w:val="0"/>
              <w:adjustRightInd w:val="0"/>
              <w:jc w:val="both"/>
              <w:rPr>
                <w:rFonts w:ascii="Verdana" w:hAnsi="Verdana" w:cs="Times New Roman"/>
              </w:rPr>
            </w:pPr>
            <w:r>
              <w:rPr>
                <w:rFonts w:ascii="Verdana" w:hAnsi="Verdana" w:cs="Times New Roman"/>
              </w:rPr>
              <w:t>16</w:t>
            </w:r>
          </w:p>
        </w:tc>
        <w:tc>
          <w:tcPr>
            <w:tcW w:w="1984" w:type="dxa"/>
          </w:tcPr>
          <w:p w14:paraId="737E8C3D"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Satisfaisant</w:t>
            </w:r>
          </w:p>
        </w:tc>
        <w:tc>
          <w:tcPr>
            <w:tcW w:w="5954" w:type="dxa"/>
          </w:tcPr>
          <w:p w14:paraId="58D70442" w14:textId="77777777" w:rsidR="001D5187" w:rsidRPr="004300CA" w:rsidRDefault="001D5187" w:rsidP="00B767DA">
            <w:pPr>
              <w:autoSpaceDE w:val="0"/>
              <w:autoSpaceDN w:val="0"/>
              <w:adjustRightInd w:val="0"/>
              <w:jc w:val="both"/>
              <w:rPr>
                <w:rFonts w:ascii="Verdana" w:hAnsi="Verdana" w:cs="Times New Roman"/>
              </w:rPr>
            </w:pPr>
            <w:r>
              <w:rPr>
                <w:rFonts w:ascii="Verdana" w:hAnsi="Verdana" w:cs="Times New Roman"/>
              </w:rPr>
              <w:t>La proposition fournit des éléments précis et satisfaisant au regard des exigences qualitatives attendues pour réaliser l’objet du marché</w:t>
            </w:r>
          </w:p>
        </w:tc>
      </w:tr>
      <w:tr w:rsidR="001D5187" w14:paraId="1848059C" w14:textId="77777777" w:rsidTr="00B767DA">
        <w:tc>
          <w:tcPr>
            <w:tcW w:w="1986" w:type="dxa"/>
          </w:tcPr>
          <w:p w14:paraId="4E9BE114" w14:textId="783C6772" w:rsidR="00B44962" w:rsidRPr="004300CA" w:rsidRDefault="00B44962" w:rsidP="00B767DA">
            <w:pPr>
              <w:autoSpaceDE w:val="0"/>
              <w:autoSpaceDN w:val="0"/>
              <w:adjustRightInd w:val="0"/>
              <w:jc w:val="both"/>
              <w:rPr>
                <w:rFonts w:ascii="Verdana" w:hAnsi="Verdana" w:cs="Times New Roman"/>
              </w:rPr>
            </w:pPr>
            <w:r>
              <w:rPr>
                <w:rFonts w:ascii="Verdana" w:hAnsi="Verdana" w:cs="Times New Roman"/>
              </w:rPr>
              <w:t>12</w:t>
            </w:r>
          </w:p>
        </w:tc>
        <w:tc>
          <w:tcPr>
            <w:tcW w:w="1984" w:type="dxa"/>
          </w:tcPr>
          <w:p w14:paraId="4D1699DA"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Suffisant</w:t>
            </w:r>
          </w:p>
        </w:tc>
        <w:tc>
          <w:tcPr>
            <w:tcW w:w="5954" w:type="dxa"/>
          </w:tcPr>
          <w:p w14:paraId="77191503" w14:textId="77777777" w:rsidR="001D5187" w:rsidRPr="004300CA" w:rsidRDefault="001D5187" w:rsidP="00B767DA">
            <w:pPr>
              <w:autoSpaceDE w:val="0"/>
              <w:autoSpaceDN w:val="0"/>
              <w:adjustRightInd w:val="0"/>
              <w:jc w:val="both"/>
              <w:rPr>
                <w:rFonts w:ascii="Verdana" w:hAnsi="Verdana" w:cs="Times New Roman"/>
              </w:rPr>
            </w:pPr>
            <w:r>
              <w:rPr>
                <w:rFonts w:ascii="Verdana" w:hAnsi="Verdana" w:cs="Times New Roman"/>
              </w:rPr>
              <w:t>La proposition fournit des éléments non précis ou peu pertinents au regard des exigences qualitatives attendues pour réaliser l’objet du marché</w:t>
            </w:r>
          </w:p>
        </w:tc>
      </w:tr>
      <w:tr w:rsidR="001D5187" w14:paraId="1A5E78CF" w14:textId="77777777" w:rsidTr="00B767DA">
        <w:tc>
          <w:tcPr>
            <w:tcW w:w="1986" w:type="dxa"/>
          </w:tcPr>
          <w:p w14:paraId="1E0BEC58" w14:textId="5939B4DA" w:rsidR="00B44962" w:rsidRPr="004300CA" w:rsidRDefault="00B44962" w:rsidP="00B767DA">
            <w:pPr>
              <w:autoSpaceDE w:val="0"/>
              <w:autoSpaceDN w:val="0"/>
              <w:adjustRightInd w:val="0"/>
              <w:jc w:val="both"/>
              <w:rPr>
                <w:rFonts w:ascii="Verdana" w:hAnsi="Verdana" w:cs="Times New Roman"/>
              </w:rPr>
            </w:pPr>
            <w:r>
              <w:rPr>
                <w:rFonts w:ascii="Verdana" w:hAnsi="Verdana" w:cs="Times New Roman"/>
              </w:rPr>
              <w:t>8</w:t>
            </w:r>
          </w:p>
        </w:tc>
        <w:tc>
          <w:tcPr>
            <w:tcW w:w="1984" w:type="dxa"/>
          </w:tcPr>
          <w:p w14:paraId="4A76A810"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Partiellement insuffisant</w:t>
            </w:r>
          </w:p>
        </w:tc>
        <w:tc>
          <w:tcPr>
            <w:tcW w:w="5954" w:type="dxa"/>
          </w:tcPr>
          <w:p w14:paraId="451A3B37" w14:textId="77777777" w:rsidR="001D5187" w:rsidRPr="004300CA" w:rsidRDefault="001D5187" w:rsidP="00B767DA">
            <w:pPr>
              <w:autoSpaceDE w:val="0"/>
              <w:autoSpaceDN w:val="0"/>
              <w:adjustRightInd w:val="0"/>
              <w:jc w:val="both"/>
              <w:rPr>
                <w:rFonts w:ascii="Verdana" w:hAnsi="Verdana" w:cs="Times New Roman"/>
              </w:rPr>
            </w:pPr>
            <w:r>
              <w:rPr>
                <w:rFonts w:ascii="Verdana" w:hAnsi="Verdana" w:cs="Times New Roman"/>
              </w:rPr>
              <w:t>La proposition répond de manière lacunaire à certaines exigences qualitatives attendues pour réaliser l’objet du marché</w:t>
            </w:r>
          </w:p>
        </w:tc>
      </w:tr>
      <w:tr w:rsidR="001D5187" w14:paraId="4B818C37" w14:textId="77777777" w:rsidTr="00B767DA">
        <w:tc>
          <w:tcPr>
            <w:tcW w:w="1986" w:type="dxa"/>
          </w:tcPr>
          <w:p w14:paraId="354D7025" w14:textId="7DFE64E5" w:rsidR="00B44962" w:rsidRPr="004300CA" w:rsidRDefault="00B44962" w:rsidP="00B767DA">
            <w:pPr>
              <w:autoSpaceDE w:val="0"/>
              <w:autoSpaceDN w:val="0"/>
              <w:adjustRightInd w:val="0"/>
              <w:jc w:val="both"/>
              <w:rPr>
                <w:rFonts w:ascii="Verdana" w:hAnsi="Verdana" w:cs="Times New Roman"/>
              </w:rPr>
            </w:pPr>
            <w:r>
              <w:rPr>
                <w:rFonts w:ascii="Verdana" w:hAnsi="Verdana" w:cs="Times New Roman"/>
              </w:rPr>
              <w:t>4</w:t>
            </w:r>
          </w:p>
        </w:tc>
        <w:tc>
          <w:tcPr>
            <w:tcW w:w="1984" w:type="dxa"/>
          </w:tcPr>
          <w:p w14:paraId="76D41833"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Insuffisant</w:t>
            </w:r>
          </w:p>
        </w:tc>
        <w:tc>
          <w:tcPr>
            <w:tcW w:w="5954" w:type="dxa"/>
          </w:tcPr>
          <w:p w14:paraId="41B157C9" w14:textId="77777777" w:rsidR="001D5187" w:rsidRPr="004300CA" w:rsidRDefault="001D5187" w:rsidP="00B767DA">
            <w:pPr>
              <w:autoSpaceDE w:val="0"/>
              <w:autoSpaceDN w:val="0"/>
              <w:adjustRightInd w:val="0"/>
              <w:jc w:val="both"/>
              <w:rPr>
                <w:rFonts w:ascii="Verdana" w:hAnsi="Verdana" w:cs="Times New Roman"/>
              </w:rPr>
            </w:pPr>
            <w:r>
              <w:rPr>
                <w:rFonts w:ascii="Verdana" w:hAnsi="Verdana" w:cs="Times New Roman"/>
              </w:rPr>
              <w:t>La proposition répond insuffisamment par manque d’éléments d’appréciation des exigences qualitatives attendues pour réaliser l’objet du marché</w:t>
            </w:r>
          </w:p>
        </w:tc>
      </w:tr>
      <w:tr w:rsidR="001D5187" w14:paraId="4D05B9D2" w14:textId="77777777" w:rsidTr="00B767DA">
        <w:tc>
          <w:tcPr>
            <w:tcW w:w="1986" w:type="dxa"/>
          </w:tcPr>
          <w:p w14:paraId="43ECFDC9"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0</w:t>
            </w:r>
          </w:p>
        </w:tc>
        <w:tc>
          <w:tcPr>
            <w:tcW w:w="1984" w:type="dxa"/>
          </w:tcPr>
          <w:p w14:paraId="75D0DFC2"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Disqualifiée</w:t>
            </w:r>
          </w:p>
        </w:tc>
        <w:tc>
          <w:tcPr>
            <w:tcW w:w="5954" w:type="dxa"/>
          </w:tcPr>
          <w:p w14:paraId="69250A36" w14:textId="77777777" w:rsidR="001D5187" w:rsidRPr="004300CA" w:rsidRDefault="001D5187" w:rsidP="00B767DA">
            <w:pPr>
              <w:autoSpaceDE w:val="0"/>
              <w:autoSpaceDN w:val="0"/>
              <w:adjustRightInd w:val="0"/>
              <w:jc w:val="both"/>
              <w:rPr>
                <w:rFonts w:ascii="Verdana" w:hAnsi="Verdana" w:cs="Times New Roman"/>
              </w:rPr>
            </w:pPr>
            <w:r>
              <w:rPr>
                <w:rFonts w:ascii="Verdana" w:hAnsi="Verdana" w:cs="Times New Roman"/>
              </w:rPr>
              <w:t>Offre non conforme</w:t>
            </w:r>
          </w:p>
        </w:tc>
      </w:tr>
    </w:tbl>
    <w:p w14:paraId="1E7B2E07" w14:textId="365D5EC5" w:rsidR="001D5187" w:rsidRDefault="001D5187" w:rsidP="005F6429">
      <w:pPr>
        <w:autoSpaceDE w:val="0"/>
        <w:autoSpaceDN w:val="0"/>
        <w:adjustRightInd w:val="0"/>
        <w:jc w:val="both"/>
        <w:rPr>
          <w:rFonts w:ascii="Verdana" w:hAnsi="Verdana" w:cs="Times New Roman"/>
          <w:b/>
          <w:bCs/>
          <w:sz w:val="22"/>
          <w:szCs w:val="22"/>
          <w:u w:val="single"/>
        </w:rPr>
      </w:pPr>
    </w:p>
    <w:p w14:paraId="370976A5" w14:textId="77777777" w:rsidR="0018433C" w:rsidRDefault="0018433C" w:rsidP="005F6429">
      <w:pPr>
        <w:autoSpaceDE w:val="0"/>
        <w:autoSpaceDN w:val="0"/>
        <w:adjustRightInd w:val="0"/>
        <w:jc w:val="both"/>
        <w:rPr>
          <w:rFonts w:ascii="Verdana" w:hAnsi="Verdana" w:cs="Times New Roman"/>
          <w:b/>
          <w:bCs/>
          <w:sz w:val="22"/>
          <w:szCs w:val="22"/>
          <w:u w:val="single"/>
        </w:rPr>
      </w:pPr>
    </w:p>
    <w:p w14:paraId="6F4EAA8C" w14:textId="37F1B39F" w:rsidR="001D5187" w:rsidRDefault="001D5187" w:rsidP="005F6429">
      <w:pPr>
        <w:autoSpaceDE w:val="0"/>
        <w:autoSpaceDN w:val="0"/>
        <w:adjustRightInd w:val="0"/>
        <w:jc w:val="both"/>
        <w:rPr>
          <w:rFonts w:ascii="Verdana" w:hAnsi="Verdana" w:cs="Times New Roman"/>
          <w:b/>
          <w:bCs/>
          <w:sz w:val="22"/>
          <w:szCs w:val="22"/>
          <w:u w:val="single"/>
        </w:rPr>
      </w:pPr>
    </w:p>
    <w:tbl>
      <w:tblPr>
        <w:tblStyle w:val="Grilledutableau"/>
        <w:tblW w:w="9924" w:type="dxa"/>
        <w:tblInd w:w="-318" w:type="dxa"/>
        <w:tblLook w:val="04A0" w:firstRow="1" w:lastRow="0" w:firstColumn="1" w:lastColumn="0" w:noHBand="0" w:noVBand="1"/>
      </w:tblPr>
      <w:tblGrid>
        <w:gridCol w:w="1986"/>
        <w:gridCol w:w="1984"/>
        <w:gridCol w:w="5954"/>
      </w:tblGrid>
      <w:tr w:rsidR="001D5187" w14:paraId="242BA5FA" w14:textId="77777777" w:rsidTr="00B767DA">
        <w:tc>
          <w:tcPr>
            <w:tcW w:w="1986" w:type="dxa"/>
            <w:shd w:val="clear" w:color="auto" w:fill="BFBFBF" w:themeFill="background1" w:themeFillShade="BF"/>
          </w:tcPr>
          <w:p w14:paraId="53819015" w14:textId="66EBD02B" w:rsidR="001D5187" w:rsidRDefault="001D5187" w:rsidP="00B767DA">
            <w:pPr>
              <w:autoSpaceDE w:val="0"/>
              <w:autoSpaceDN w:val="0"/>
              <w:adjustRightInd w:val="0"/>
              <w:jc w:val="both"/>
              <w:rPr>
                <w:rFonts w:ascii="Verdana" w:hAnsi="Verdana" w:cs="Times New Roman"/>
                <w:sz w:val="22"/>
                <w:szCs w:val="22"/>
              </w:rPr>
            </w:pPr>
            <w:r>
              <w:rPr>
                <w:rFonts w:ascii="Verdana" w:hAnsi="Verdana" w:cs="Times New Roman"/>
                <w:sz w:val="22"/>
                <w:szCs w:val="22"/>
              </w:rPr>
              <w:t>Notation /10</w:t>
            </w:r>
          </w:p>
        </w:tc>
        <w:tc>
          <w:tcPr>
            <w:tcW w:w="1984" w:type="dxa"/>
            <w:shd w:val="clear" w:color="auto" w:fill="BFBFBF" w:themeFill="background1" w:themeFillShade="BF"/>
          </w:tcPr>
          <w:p w14:paraId="2C815D42" w14:textId="77777777" w:rsidR="001D5187" w:rsidRDefault="001D5187" w:rsidP="00B767DA">
            <w:pPr>
              <w:autoSpaceDE w:val="0"/>
              <w:autoSpaceDN w:val="0"/>
              <w:adjustRightInd w:val="0"/>
              <w:jc w:val="both"/>
              <w:rPr>
                <w:rFonts w:ascii="Verdana" w:hAnsi="Verdana" w:cs="Times New Roman"/>
                <w:sz w:val="22"/>
                <w:szCs w:val="22"/>
              </w:rPr>
            </w:pPr>
            <w:r>
              <w:rPr>
                <w:rFonts w:ascii="Verdana" w:hAnsi="Verdana" w:cs="Times New Roman"/>
                <w:sz w:val="22"/>
                <w:szCs w:val="22"/>
              </w:rPr>
              <w:t>Appréciations</w:t>
            </w:r>
          </w:p>
        </w:tc>
        <w:tc>
          <w:tcPr>
            <w:tcW w:w="5954" w:type="dxa"/>
            <w:shd w:val="clear" w:color="auto" w:fill="BFBFBF" w:themeFill="background1" w:themeFillShade="BF"/>
          </w:tcPr>
          <w:p w14:paraId="79E36877" w14:textId="77777777" w:rsidR="001D5187" w:rsidRDefault="001D5187" w:rsidP="00B767DA">
            <w:pPr>
              <w:autoSpaceDE w:val="0"/>
              <w:autoSpaceDN w:val="0"/>
              <w:adjustRightInd w:val="0"/>
              <w:jc w:val="both"/>
              <w:rPr>
                <w:rFonts w:ascii="Verdana" w:hAnsi="Verdana" w:cs="Times New Roman"/>
                <w:sz w:val="22"/>
                <w:szCs w:val="22"/>
              </w:rPr>
            </w:pPr>
            <w:r>
              <w:rPr>
                <w:rFonts w:ascii="Verdana" w:hAnsi="Verdana" w:cs="Times New Roman"/>
                <w:sz w:val="22"/>
                <w:szCs w:val="22"/>
              </w:rPr>
              <w:t>Commentaires</w:t>
            </w:r>
          </w:p>
        </w:tc>
      </w:tr>
      <w:tr w:rsidR="001D5187" w14:paraId="7893B796" w14:textId="77777777" w:rsidTr="00B767DA">
        <w:tc>
          <w:tcPr>
            <w:tcW w:w="1986" w:type="dxa"/>
          </w:tcPr>
          <w:p w14:paraId="398B2E54" w14:textId="1E5FD3AF" w:rsidR="00B44962" w:rsidRPr="004300CA" w:rsidRDefault="00B44962" w:rsidP="00B767DA">
            <w:pPr>
              <w:autoSpaceDE w:val="0"/>
              <w:autoSpaceDN w:val="0"/>
              <w:adjustRightInd w:val="0"/>
              <w:jc w:val="both"/>
              <w:rPr>
                <w:rFonts w:ascii="Verdana" w:hAnsi="Verdana" w:cs="Times New Roman"/>
              </w:rPr>
            </w:pPr>
            <w:r>
              <w:rPr>
                <w:rFonts w:ascii="Verdana" w:hAnsi="Verdana" w:cs="Times New Roman"/>
              </w:rPr>
              <w:t>10</w:t>
            </w:r>
          </w:p>
        </w:tc>
        <w:tc>
          <w:tcPr>
            <w:tcW w:w="1984" w:type="dxa"/>
          </w:tcPr>
          <w:p w14:paraId="2B7D236F"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Très satisfaisant</w:t>
            </w:r>
          </w:p>
        </w:tc>
        <w:tc>
          <w:tcPr>
            <w:tcW w:w="5954" w:type="dxa"/>
          </w:tcPr>
          <w:p w14:paraId="7AC527C5" w14:textId="2D6CE69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La proposition fourni</w:t>
            </w:r>
            <w:r w:rsidR="00A81B91">
              <w:rPr>
                <w:rFonts w:ascii="Verdana" w:hAnsi="Verdana" w:cs="Times New Roman"/>
              </w:rPr>
              <w:t>t</w:t>
            </w:r>
            <w:r w:rsidRPr="004300CA">
              <w:rPr>
                <w:rFonts w:ascii="Verdana" w:hAnsi="Verdana" w:cs="Times New Roman"/>
              </w:rPr>
              <w:t xml:space="preserve"> des éléments précis, détaillés et optimaux et répond à toutes les exigences qualitatives attendues pour réaliser l’objet du marché</w:t>
            </w:r>
          </w:p>
        </w:tc>
      </w:tr>
      <w:tr w:rsidR="001D5187" w14:paraId="40327B8E" w14:textId="77777777" w:rsidTr="00B767DA">
        <w:tc>
          <w:tcPr>
            <w:tcW w:w="1986" w:type="dxa"/>
          </w:tcPr>
          <w:p w14:paraId="55F6DB9E" w14:textId="7651C006" w:rsidR="00B44962" w:rsidRPr="004300CA" w:rsidRDefault="00B44962" w:rsidP="00B767DA">
            <w:pPr>
              <w:autoSpaceDE w:val="0"/>
              <w:autoSpaceDN w:val="0"/>
              <w:adjustRightInd w:val="0"/>
              <w:jc w:val="both"/>
              <w:rPr>
                <w:rFonts w:ascii="Verdana" w:hAnsi="Verdana" w:cs="Times New Roman"/>
              </w:rPr>
            </w:pPr>
            <w:r>
              <w:rPr>
                <w:rFonts w:ascii="Verdana" w:hAnsi="Verdana" w:cs="Times New Roman"/>
              </w:rPr>
              <w:t>8</w:t>
            </w:r>
          </w:p>
        </w:tc>
        <w:tc>
          <w:tcPr>
            <w:tcW w:w="1984" w:type="dxa"/>
          </w:tcPr>
          <w:p w14:paraId="7A542C6A"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Satisfaisant</w:t>
            </w:r>
          </w:p>
        </w:tc>
        <w:tc>
          <w:tcPr>
            <w:tcW w:w="5954" w:type="dxa"/>
          </w:tcPr>
          <w:p w14:paraId="0A38CD8E" w14:textId="77777777" w:rsidR="001D5187" w:rsidRPr="004300CA" w:rsidRDefault="001D5187" w:rsidP="00B767DA">
            <w:pPr>
              <w:autoSpaceDE w:val="0"/>
              <w:autoSpaceDN w:val="0"/>
              <w:adjustRightInd w:val="0"/>
              <w:jc w:val="both"/>
              <w:rPr>
                <w:rFonts w:ascii="Verdana" w:hAnsi="Verdana" w:cs="Times New Roman"/>
              </w:rPr>
            </w:pPr>
            <w:r>
              <w:rPr>
                <w:rFonts w:ascii="Verdana" w:hAnsi="Verdana" w:cs="Times New Roman"/>
              </w:rPr>
              <w:t>La proposition fournit des éléments précis et satisfaisant au regard des exigences qualitatives attendues pour réaliser l’objet du marché</w:t>
            </w:r>
          </w:p>
        </w:tc>
      </w:tr>
      <w:tr w:rsidR="001D5187" w14:paraId="770E809A" w14:textId="77777777" w:rsidTr="00B767DA">
        <w:tc>
          <w:tcPr>
            <w:tcW w:w="1986" w:type="dxa"/>
          </w:tcPr>
          <w:p w14:paraId="6BBACE8D" w14:textId="57F70B98" w:rsidR="00B44962" w:rsidRPr="004300CA" w:rsidRDefault="00B44962" w:rsidP="00B767DA">
            <w:pPr>
              <w:autoSpaceDE w:val="0"/>
              <w:autoSpaceDN w:val="0"/>
              <w:adjustRightInd w:val="0"/>
              <w:jc w:val="both"/>
              <w:rPr>
                <w:rFonts w:ascii="Verdana" w:hAnsi="Verdana" w:cs="Times New Roman"/>
              </w:rPr>
            </w:pPr>
            <w:r>
              <w:rPr>
                <w:rFonts w:ascii="Verdana" w:hAnsi="Verdana" w:cs="Times New Roman"/>
              </w:rPr>
              <w:t>6</w:t>
            </w:r>
          </w:p>
        </w:tc>
        <w:tc>
          <w:tcPr>
            <w:tcW w:w="1984" w:type="dxa"/>
          </w:tcPr>
          <w:p w14:paraId="7892DA80"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Suffisant</w:t>
            </w:r>
          </w:p>
        </w:tc>
        <w:tc>
          <w:tcPr>
            <w:tcW w:w="5954" w:type="dxa"/>
          </w:tcPr>
          <w:p w14:paraId="34D55444" w14:textId="77777777" w:rsidR="001D5187" w:rsidRPr="004300CA" w:rsidRDefault="001D5187" w:rsidP="00B767DA">
            <w:pPr>
              <w:autoSpaceDE w:val="0"/>
              <w:autoSpaceDN w:val="0"/>
              <w:adjustRightInd w:val="0"/>
              <w:jc w:val="both"/>
              <w:rPr>
                <w:rFonts w:ascii="Verdana" w:hAnsi="Verdana" w:cs="Times New Roman"/>
              </w:rPr>
            </w:pPr>
            <w:r>
              <w:rPr>
                <w:rFonts w:ascii="Verdana" w:hAnsi="Verdana" w:cs="Times New Roman"/>
              </w:rPr>
              <w:t>La proposition fournit des éléments non précis ou peu pertinents au regard des exigences qualitatives attendues pour réaliser l’objet du marché</w:t>
            </w:r>
          </w:p>
        </w:tc>
      </w:tr>
      <w:tr w:rsidR="001D5187" w14:paraId="7C94378A" w14:textId="77777777" w:rsidTr="00B767DA">
        <w:tc>
          <w:tcPr>
            <w:tcW w:w="1986" w:type="dxa"/>
          </w:tcPr>
          <w:p w14:paraId="0268943A" w14:textId="57030949" w:rsidR="00B44962" w:rsidRPr="004300CA" w:rsidRDefault="00B44962" w:rsidP="00B767DA">
            <w:pPr>
              <w:autoSpaceDE w:val="0"/>
              <w:autoSpaceDN w:val="0"/>
              <w:adjustRightInd w:val="0"/>
              <w:jc w:val="both"/>
              <w:rPr>
                <w:rFonts w:ascii="Verdana" w:hAnsi="Verdana" w:cs="Times New Roman"/>
              </w:rPr>
            </w:pPr>
            <w:r>
              <w:rPr>
                <w:rFonts w:ascii="Verdana" w:hAnsi="Verdana" w:cs="Times New Roman"/>
              </w:rPr>
              <w:t>4</w:t>
            </w:r>
          </w:p>
        </w:tc>
        <w:tc>
          <w:tcPr>
            <w:tcW w:w="1984" w:type="dxa"/>
          </w:tcPr>
          <w:p w14:paraId="010B275A"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Partiellement insuffisant</w:t>
            </w:r>
          </w:p>
        </w:tc>
        <w:tc>
          <w:tcPr>
            <w:tcW w:w="5954" w:type="dxa"/>
          </w:tcPr>
          <w:p w14:paraId="23F1569B" w14:textId="77777777" w:rsidR="001D5187" w:rsidRPr="004300CA" w:rsidRDefault="001D5187" w:rsidP="00B767DA">
            <w:pPr>
              <w:autoSpaceDE w:val="0"/>
              <w:autoSpaceDN w:val="0"/>
              <w:adjustRightInd w:val="0"/>
              <w:jc w:val="both"/>
              <w:rPr>
                <w:rFonts w:ascii="Verdana" w:hAnsi="Verdana" w:cs="Times New Roman"/>
              </w:rPr>
            </w:pPr>
            <w:r>
              <w:rPr>
                <w:rFonts w:ascii="Verdana" w:hAnsi="Verdana" w:cs="Times New Roman"/>
              </w:rPr>
              <w:t>La proposition répond de manière lacunaire à certaines exigences qualitatives attendues pour réaliser l’objet du marché</w:t>
            </w:r>
          </w:p>
        </w:tc>
      </w:tr>
      <w:tr w:rsidR="001D5187" w14:paraId="4D06C30D" w14:textId="77777777" w:rsidTr="00B767DA">
        <w:tc>
          <w:tcPr>
            <w:tcW w:w="1986" w:type="dxa"/>
          </w:tcPr>
          <w:p w14:paraId="5D23A1E1" w14:textId="4563CBBD" w:rsidR="00B44962" w:rsidRPr="004300CA" w:rsidRDefault="00B44962" w:rsidP="00B767DA">
            <w:pPr>
              <w:autoSpaceDE w:val="0"/>
              <w:autoSpaceDN w:val="0"/>
              <w:adjustRightInd w:val="0"/>
              <w:jc w:val="both"/>
              <w:rPr>
                <w:rFonts w:ascii="Verdana" w:hAnsi="Verdana" w:cs="Times New Roman"/>
              </w:rPr>
            </w:pPr>
            <w:r>
              <w:rPr>
                <w:rFonts w:ascii="Verdana" w:hAnsi="Verdana" w:cs="Times New Roman"/>
              </w:rPr>
              <w:t>2</w:t>
            </w:r>
          </w:p>
        </w:tc>
        <w:tc>
          <w:tcPr>
            <w:tcW w:w="1984" w:type="dxa"/>
          </w:tcPr>
          <w:p w14:paraId="3B0616D2"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Insuffisant</w:t>
            </w:r>
          </w:p>
        </w:tc>
        <w:tc>
          <w:tcPr>
            <w:tcW w:w="5954" w:type="dxa"/>
          </w:tcPr>
          <w:p w14:paraId="73A64735" w14:textId="77777777" w:rsidR="001D5187" w:rsidRPr="004300CA" w:rsidRDefault="001D5187" w:rsidP="00B767DA">
            <w:pPr>
              <w:autoSpaceDE w:val="0"/>
              <w:autoSpaceDN w:val="0"/>
              <w:adjustRightInd w:val="0"/>
              <w:jc w:val="both"/>
              <w:rPr>
                <w:rFonts w:ascii="Verdana" w:hAnsi="Verdana" w:cs="Times New Roman"/>
              </w:rPr>
            </w:pPr>
            <w:r>
              <w:rPr>
                <w:rFonts w:ascii="Verdana" w:hAnsi="Verdana" w:cs="Times New Roman"/>
              </w:rPr>
              <w:t>La proposition répond insuffisamment par manque d’éléments d’appréciation des exigences qualitatives attendues pour réaliser l’objet du marché</w:t>
            </w:r>
          </w:p>
        </w:tc>
      </w:tr>
      <w:tr w:rsidR="001D5187" w14:paraId="445D95E4" w14:textId="77777777" w:rsidTr="00B767DA">
        <w:tc>
          <w:tcPr>
            <w:tcW w:w="1986" w:type="dxa"/>
          </w:tcPr>
          <w:p w14:paraId="17759ADF"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0</w:t>
            </w:r>
          </w:p>
        </w:tc>
        <w:tc>
          <w:tcPr>
            <w:tcW w:w="1984" w:type="dxa"/>
          </w:tcPr>
          <w:p w14:paraId="15C32BFD" w14:textId="77777777" w:rsidR="001D5187" w:rsidRPr="004300CA" w:rsidRDefault="001D5187" w:rsidP="00B767DA">
            <w:pPr>
              <w:autoSpaceDE w:val="0"/>
              <w:autoSpaceDN w:val="0"/>
              <w:adjustRightInd w:val="0"/>
              <w:jc w:val="both"/>
              <w:rPr>
                <w:rFonts w:ascii="Verdana" w:hAnsi="Verdana" w:cs="Times New Roman"/>
              </w:rPr>
            </w:pPr>
            <w:r w:rsidRPr="004300CA">
              <w:rPr>
                <w:rFonts w:ascii="Verdana" w:hAnsi="Verdana" w:cs="Times New Roman"/>
              </w:rPr>
              <w:t>Disqualifiée</w:t>
            </w:r>
          </w:p>
        </w:tc>
        <w:tc>
          <w:tcPr>
            <w:tcW w:w="5954" w:type="dxa"/>
          </w:tcPr>
          <w:p w14:paraId="7B7B4D9E" w14:textId="77777777" w:rsidR="001D5187" w:rsidRPr="004300CA" w:rsidRDefault="001D5187" w:rsidP="00B767DA">
            <w:pPr>
              <w:autoSpaceDE w:val="0"/>
              <w:autoSpaceDN w:val="0"/>
              <w:adjustRightInd w:val="0"/>
              <w:jc w:val="both"/>
              <w:rPr>
                <w:rFonts w:ascii="Verdana" w:hAnsi="Verdana" w:cs="Times New Roman"/>
              </w:rPr>
            </w:pPr>
            <w:r>
              <w:rPr>
                <w:rFonts w:ascii="Verdana" w:hAnsi="Verdana" w:cs="Times New Roman"/>
              </w:rPr>
              <w:t>Offre non conforme</w:t>
            </w:r>
          </w:p>
        </w:tc>
      </w:tr>
    </w:tbl>
    <w:p w14:paraId="67140D52" w14:textId="074FFFA0" w:rsidR="00D12DB3" w:rsidRDefault="00D12DB3" w:rsidP="005F6429">
      <w:pPr>
        <w:autoSpaceDE w:val="0"/>
        <w:autoSpaceDN w:val="0"/>
        <w:adjustRightInd w:val="0"/>
        <w:jc w:val="both"/>
        <w:rPr>
          <w:rFonts w:ascii="Verdana" w:hAnsi="Verdana" w:cs="Times New Roman"/>
          <w:b/>
          <w:bCs/>
          <w:sz w:val="22"/>
          <w:szCs w:val="22"/>
          <w:u w:val="single"/>
        </w:rPr>
      </w:pPr>
    </w:p>
    <w:p w14:paraId="74FDCF39" w14:textId="2C3618A1" w:rsidR="00D12DB3" w:rsidRPr="00D12517" w:rsidRDefault="00D12517" w:rsidP="00D12DB3">
      <w:pPr>
        <w:autoSpaceDE w:val="0"/>
        <w:autoSpaceDN w:val="0"/>
        <w:adjustRightInd w:val="0"/>
        <w:spacing w:before="100" w:after="100"/>
        <w:outlineLvl w:val="0"/>
        <w:rPr>
          <w:rFonts w:ascii="Verdana" w:eastAsiaTheme="majorEastAsia" w:hAnsi="Verdana" w:cs="Times New Roman"/>
          <w:b/>
          <w:sz w:val="24"/>
          <w:szCs w:val="24"/>
          <w:u w:val="single"/>
        </w:rPr>
      </w:pPr>
      <w:r w:rsidRPr="00D12517">
        <w:rPr>
          <w:rFonts w:ascii="Verdana" w:eastAsiaTheme="majorEastAsia" w:hAnsi="Verdana" w:cs="Times New Roman"/>
          <w:b/>
          <w:sz w:val="24"/>
          <w:szCs w:val="24"/>
          <w:u w:val="single"/>
        </w:rPr>
        <w:t>5 – CONDITIONS D'ENVOI OU DE REMISE DES OFFRES</w:t>
      </w:r>
    </w:p>
    <w:p w14:paraId="4803A170"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Les offres sont transmises en une seule fois. Si plusieurs offres sont adressées ou transmises successivement par un même candidat, seule la dernière reçue dans le délai fixé pour la remise des offres sera ouverte.</w:t>
      </w:r>
    </w:p>
    <w:p w14:paraId="4E551689"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Les offres peuvent être adressées ou remises dans les conditions suivantes :</w:t>
      </w:r>
    </w:p>
    <w:p w14:paraId="314E5F3C" w14:textId="77777777" w:rsidR="00D12DB3" w:rsidRDefault="00D12DB3" w:rsidP="00D12DB3">
      <w:pPr>
        <w:numPr>
          <w:ilvl w:val="0"/>
          <w:numId w:val="1"/>
        </w:numPr>
        <w:autoSpaceDE w:val="0"/>
        <w:autoSpaceDN w:val="0"/>
        <w:adjustRightInd w:val="0"/>
        <w:ind w:left="580" w:hanging="250"/>
        <w:rPr>
          <w:rFonts w:ascii="Verdana" w:hAnsi="Verdana" w:cs="Times New Roman"/>
          <w:szCs w:val="24"/>
        </w:rPr>
      </w:pPr>
      <w:r>
        <w:rPr>
          <w:rFonts w:ascii="Verdana" w:hAnsi="Verdana" w:cs="Times New Roman"/>
          <w:b/>
          <w:szCs w:val="24"/>
        </w:rPr>
        <w:t>Par transmission électronique</w:t>
      </w:r>
      <w:r>
        <w:rPr>
          <w:rFonts w:ascii="Verdana" w:hAnsi="Verdana" w:cs="Times New Roman"/>
          <w:szCs w:val="24"/>
        </w:rPr>
        <w:t xml:space="preserve"> </w:t>
      </w:r>
    </w:p>
    <w:p w14:paraId="26A855FE" w14:textId="77777777" w:rsidR="00D12DB3" w:rsidRDefault="00D12DB3" w:rsidP="00A81B91">
      <w:pPr>
        <w:numPr>
          <w:ilvl w:val="0"/>
          <w:numId w:val="1"/>
        </w:numPr>
        <w:autoSpaceDE w:val="0"/>
        <w:autoSpaceDN w:val="0"/>
        <w:adjustRightInd w:val="0"/>
        <w:ind w:left="580" w:hanging="250"/>
        <w:jc w:val="both"/>
        <w:rPr>
          <w:rFonts w:ascii="Verdana" w:hAnsi="Verdana" w:cs="Times New Roman"/>
          <w:szCs w:val="24"/>
        </w:rPr>
      </w:pPr>
      <w:r>
        <w:rPr>
          <w:rFonts w:ascii="Verdana" w:hAnsi="Verdana" w:cs="Times New Roman"/>
          <w:szCs w:val="24"/>
        </w:rPr>
        <w:t>La présentation sur un support physique électronique n'est pas autorisée, sauf en ce qui concerne la copie de sauvegarde accompagnant une transmission électronique.</w:t>
      </w:r>
    </w:p>
    <w:p w14:paraId="22F7B8E8" w14:textId="77777777" w:rsidR="00D12DB3" w:rsidRDefault="00D12DB3" w:rsidP="00D12DB3">
      <w:pPr>
        <w:autoSpaceDE w:val="0"/>
        <w:autoSpaceDN w:val="0"/>
        <w:adjustRightInd w:val="0"/>
        <w:rPr>
          <w:rFonts w:ascii="Verdana" w:hAnsi="Verdana" w:cs="Times New Roman"/>
          <w:szCs w:val="24"/>
        </w:rPr>
      </w:pPr>
    </w:p>
    <w:p w14:paraId="147D68A3" w14:textId="1313A2FD" w:rsidR="00D12DB3" w:rsidRPr="006E2CF4" w:rsidRDefault="00D12DB3" w:rsidP="00D12DB3">
      <w:pPr>
        <w:autoSpaceDE w:val="0"/>
        <w:autoSpaceDN w:val="0"/>
        <w:adjustRightInd w:val="0"/>
        <w:jc w:val="both"/>
        <w:rPr>
          <w:rFonts w:ascii="Verdana" w:hAnsi="Verdana" w:cs="Times New Roman"/>
          <w:b/>
          <w:szCs w:val="24"/>
        </w:rPr>
      </w:pPr>
      <w:r w:rsidRPr="006E2CF4">
        <w:rPr>
          <w:rFonts w:ascii="Verdana" w:hAnsi="Verdana" w:cs="Times New Roman"/>
          <w:b/>
          <w:szCs w:val="24"/>
        </w:rPr>
        <w:t>Les offres devront parve</w:t>
      </w:r>
      <w:r>
        <w:rPr>
          <w:rFonts w:ascii="Verdana" w:hAnsi="Verdana" w:cs="Times New Roman"/>
          <w:b/>
          <w:szCs w:val="24"/>
        </w:rPr>
        <w:t xml:space="preserve">nir à destination avant le </w:t>
      </w:r>
      <w:r w:rsidR="008723E1">
        <w:rPr>
          <w:rFonts w:ascii="Verdana" w:hAnsi="Verdana" w:cs="Times New Roman"/>
          <w:b/>
          <w:szCs w:val="24"/>
          <w:highlight w:val="yellow"/>
        </w:rPr>
        <w:t>15/11</w:t>
      </w:r>
      <w:r w:rsidR="004537A1">
        <w:rPr>
          <w:rFonts w:ascii="Verdana" w:hAnsi="Verdana" w:cs="Times New Roman"/>
          <w:b/>
          <w:szCs w:val="24"/>
          <w:highlight w:val="yellow"/>
        </w:rPr>
        <w:t>/2024</w:t>
      </w:r>
      <w:r w:rsidRPr="0018433C">
        <w:rPr>
          <w:rFonts w:ascii="Verdana" w:hAnsi="Verdana" w:cs="Times New Roman"/>
          <w:b/>
          <w:szCs w:val="24"/>
          <w:highlight w:val="yellow"/>
        </w:rPr>
        <w:t xml:space="preserve"> à 12:00</w:t>
      </w:r>
      <w:r w:rsidRPr="006E2CF4">
        <w:rPr>
          <w:rFonts w:ascii="Verdana" w:hAnsi="Verdana" w:cs="Times New Roman"/>
          <w:b/>
          <w:szCs w:val="24"/>
        </w:rPr>
        <w:t>.</w:t>
      </w:r>
    </w:p>
    <w:p w14:paraId="2A23EC37"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La re-matérialisation de l'offre en document papier sera faite, préalablement à la conclusion de l'accord-cadre avec l'attributaire. Le candidat sera alors invité à procéder à la signature manuscrite des documents re-matérialisés.</w:t>
      </w:r>
    </w:p>
    <w:p w14:paraId="7E7E8C8E" w14:textId="77777777" w:rsidR="00D12DB3" w:rsidRDefault="00D12DB3" w:rsidP="00D12DB3">
      <w:pPr>
        <w:autoSpaceDE w:val="0"/>
        <w:autoSpaceDN w:val="0"/>
        <w:adjustRightInd w:val="0"/>
        <w:jc w:val="both"/>
        <w:rPr>
          <w:rFonts w:ascii="Verdana" w:hAnsi="Verdana" w:cs="Times New Roman"/>
          <w:szCs w:val="24"/>
        </w:rPr>
      </w:pPr>
    </w:p>
    <w:p w14:paraId="3ECD5DB5" w14:textId="624DAAAD" w:rsidR="00D12DB3" w:rsidRPr="00D12517" w:rsidRDefault="00D12517" w:rsidP="00D12DB3">
      <w:pPr>
        <w:autoSpaceDE w:val="0"/>
        <w:autoSpaceDN w:val="0"/>
        <w:adjustRightInd w:val="0"/>
        <w:spacing w:before="100" w:after="100"/>
        <w:outlineLvl w:val="0"/>
        <w:rPr>
          <w:rFonts w:ascii="Verdana" w:eastAsiaTheme="majorEastAsia" w:hAnsi="Verdana" w:cs="Times New Roman"/>
          <w:b/>
          <w:sz w:val="24"/>
          <w:szCs w:val="24"/>
          <w:u w:val="single"/>
        </w:rPr>
      </w:pPr>
      <w:r w:rsidRPr="00D12517">
        <w:rPr>
          <w:rFonts w:ascii="Verdana" w:eastAsiaTheme="majorEastAsia" w:hAnsi="Verdana" w:cs="Times New Roman"/>
          <w:b/>
          <w:sz w:val="24"/>
          <w:szCs w:val="24"/>
          <w:u w:val="single"/>
        </w:rPr>
        <w:t xml:space="preserve">6 – CONDITIONS D'ENVOI PAR TRANSMISSION </w:t>
      </w:r>
      <w:r w:rsidR="00A81B91">
        <w:rPr>
          <w:rFonts w:ascii="Verdana" w:eastAsiaTheme="majorEastAsia" w:hAnsi="Verdana" w:cs="Times New Roman"/>
          <w:b/>
          <w:sz w:val="24"/>
          <w:szCs w:val="24"/>
          <w:u w:val="single"/>
        </w:rPr>
        <w:t>É</w:t>
      </w:r>
      <w:r w:rsidRPr="00D12517">
        <w:rPr>
          <w:rFonts w:ascii="Verdana" w:eastAsiaTheme="majorEastAsia" w:hAnsi="Verdana" w:cs="Times New Roman"/>
          <w:b/>
          <w:sz w:val="24"/>
          <w:szCs w:val="24"/>
          <w:u w:val="single"/>
        </w:rPr>
        <w:t>LECTRONIQUE</w:t>
      </w:r>
    </w:p>
    <w:p w14:paraId="6790C896"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Les candidats ne peuvent pas recourir à des modes différenciés de transmission pour la candidature et pour l'offre. Les candidats présenteront leur réponse dans un fichier comprenant à la fois les documents relatifs à la candidature et ceux relatifs à l'offre.</w:t>
      </w:r>
    </w:p>
    <w:p w14:paraId="386C088C"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 xml:space="preserve">La transmission dématérialisée est effectuée via le profil d'acheteur suivant : </w:t>
      </w:r>
      <w:hyperlink r:id="rId12" w:history="1">
        <w:r w:rsidRPr="007A35E2">
          <w:rPr>
            <w:rStyle w:val="Lienhypertexte"/>
            <w:rFonts w:ascii="Verdana" w:hAnsi="Verdana" w:cs="Times New Roman"/>
            <w:szCs w:val="24"/>
          </w:rPr>
          <w:t>https://www.marches-securises.fr</w:t>
        </w:r>
      </w:hyperlink>
      <w:r>
        <w:rPr>
          <w:rFonts w:ascii="Verdana" w:hAnsi="Verdana" w:cs="Times New Roman"/>
          <w:szCs w:val="24"/>
        </w:rPr>
        <w:t xml:space="preserve"> .Le niveau de sécurité requis par le profil d'acheteur est le niveau *** du RGS</w:t>
      </w:r>
    </w:p>
    <w:p w14:paraId="2390A579"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En conséquence, le certificat de signature du candidat devra être d'un niveau au moins équivalent, les certificats de signature d'un niveau inférieur ne pourront être acceptés.</w:t>
      </w:r>
    </w:p>
    <w:p w14:paraId="7F28D8C9"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Un mode d'emploi est disponible sur le site. Les frais d'accès au réseau sont à la charge des candidats. Chaque transmission dématérialisée fera l'objet d'une date certaine de réception et d'un accusé de réception électronique. Le fuseau horaire de référence sera celui de (GMT+01:00) Paris, Bruxelles, Copenhague, Madrid.</w:t>
      </w:r>
    </w:p>
    <w:p w14:paraId="5D11A24F"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b/>
          <w:szCs w:val="24"/>
        </w:rPr>
        <w:t>Contraintes informatiques</w:t>
      </w:r>
      <w:r>
        <w:rPr>
          <w:rFonts w:ascii="Verdana" w:hAnsi="Verdana" w:cs="Times New Roman"/>
          <w:szCs w:val="24"/>
        </w:rPr>
        <w:t xml:space="preserve"> </w:t>
      </w:r>
    </w:p>
    <w:p w14:paraId="088CA451"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Tout document ou support électronique envoyé par un candidat dans lequel un virus informatique est détecté par le pouvoir adjudicateur sera réputé n'avoir jamais été reçu. Aussi, il est conseillé aux candidats d'utiliser un antivirus régulièrement mis à jour.</w:t>
      </w:r>
    </w:p>
    <w:p w14:paraId="16887552"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Par ailleurs, afin d'empêcher la diffusion des virus informatiques, les candidats ne doivent utiliser ni les exécutables (notamment les "exe"), ni les "macros".</w:t>
      </w:r>
    </w:p>
    <w:p w14:paraId="0C097F9E"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Les formats de fichiers acceptés par le pouvoir adjudicateur sont les suivants : ".doc", ".xls", ".ppt", ".zip", ".pdf".</w:t>
      </w:r>
    </w:p>
    <w:p w14:paraId="6371860C"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b/>
          <w:szCs w:val="24"/>
        </w:rPr>
        <w:t>Dispositions relatives à la signature électronique</w:t>
      </w:r>
      <w:r>
        <w:rPr>
          <w:rFonts w:ascii="Verdana" w:hAnsi="Verdana" w:cs="Times New Roman"/>
          <w:szCs w:val="24"/>
        </w:rPr>
        <w:t xml:space="preserve"> </w:t>
      </w:r>
    </w:p>
    <w:p w14:paraId="1530564D" w14:textId="128E4916"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 xml:space="preserve">Les documents relatifs à la candidature et les actes d'engagement envoyés sur support physique électronique ou transmis par voie électronique seront signés par le candidat dans les conditions </w:t>
      </w:r>
      <w:r w:rsidRPr="00C82E85">
        <w:rPr>
          <w:rFonts w:ascii="Verdana" w:hAnsi="Verdana" w:cs="Times New Roman"/>
          <w:szCs w:val="24"/>
        </w:rPr>
        <w:t xml:space="preserve">fixées </w:t>
      </w:r>
      <w:r w:rsidR="00C82E85" w:rsidRPr="00C82E85">
        <w:rPr>
          <w:rFonts w:ascii="Verdana" w:hAnsi="Verdana" w:cs="Times New Roman"/>
          <w:szCs w:val="24"/>
        </w:rPr>
        <w:t xml:space="preserve">par </w:t>
      </w:r>
      <w:r w:rsidRPr="00C82E85">
        <w:rPr>
          <w:rFonts w:ascii="Verdana" w:hAnsi="Verdana" w:cs="Times New Roman"/>
          <w:szCs w:val="24"/>
        </w:rPr>
        <w:t xml:space="preserve">l'article </w:t>
      </w:r>
      <w:r w:rsidR="00C82E85" w:rsidRPr="00C82E85">
        <w:rPr>
          <w:rFonts w:ascii="Verdana" w:hAnsi="Verdana" w:cs="Times New Roman"/>
          <w:szCs w:val="24"/>
        </w:rPr>
        <w:t>R2182-3 du Code de la Commande Publique</w:t>
      </w:r>
      <w:r w:rsidRPr="00C82E85">
        <w:rPr>
          <w:rFonts w:ascii="Verdana" w:hAnsi="Verdana" w:cs="Times New Roman"/>
          <w:szCs w:val="24"/>
        </w:rPr>
        <w:t>.</w:t>
      </w:r>
    </w:p>
    <w:p w14:paraId="7A6B7693"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Les formats de signature acceptés sont les formats XAdES, PAdES, CAdES.</w:t>
      </w:r>
    </w:p>
    <w:p w14:paraId="07B0E4DC"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L'attention des candidats est attirée sur le fait que la signature numérisée (numérisation d'un document papier avec signature manuscrite) n'a pas la valeur d'une signature électronique. La signature numérisée n'est admissible que pour les documents qui ne sont pas produits et signés par les candidats eux-mêmes.</w:t>
      </w:r>
    </w:p>
    <w:p w14:paraId="28487E5A"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b/>
          <w:szCs w:val="24"/>
        </w:rPr>
        <w:t>Dispositions relatives à la copie de sauvegarde</w:t>
      </w:r>
      <w:r>
        <w:rPr>
          <w:rFonts w:ascii="Verdana" w:hAnsi="Verdana" w:cs="Times New Roman"/>
          <w:szCs w:val="24"/>
        </w:rPr>
        <w:t xml:space="preserve"> </w:t>
      </w:r>
    </w:p>
    <w:p w14:paraId="0023FF8B"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En cas de transmission dématérialisée, une copie de sauvegarde établie sur support papier ou sur support physique électronique peut être envoyée ou remise par le candidat.</w:t>
      </w:r>
    </w:p>
    <w:p w14:paraId="000F177F"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La copie de sauvegarde n'est recevable que si les deux conditions suivantes sont remplies :</w:t>
      </w:r>
    </w:p>
    <w:p w14:paraId="5E0505C1" w14:textId="77777777" w:rsidR="00D12DB3" w:rsidRDefault="00D12DB3" w:rsidP="00D12DB3">
      <w:pPr>
        <w:numPr>
          <w:ilvl w:val="0"/>
          <w:numId w:val="1"/>
        </w:numPr>
        <w:autoSpaceDE w:val="0"/>
        <w:autoSpaceDN w:val="0"/>
        <w:adjustRightInd w:val="0"/>
        <w:ind w:left="580" w:hanging="250"/>
        <w:rPr>
          <w:rFonts w:ascii="Verdana" w:hAnsi="Verdana" w:cs="Times New Roman"/>
          <w:szCs w:val="24"/>
        </w:rPr>
      </w:pPr>
      <w:r>
        <w:rPr>
          <w:rFonts w:ascii="Verdana" w:hAnsi="Verdana" w:cs="Times New Roman"/>
          <w:szCs w:val="24"/>
        </w:rPr>
        <w:t>elle est parvenue à destination dans le délai fixé pour la remise des offres.</w:t>
      </w:r>
    </w:p>
    <w:p w14:paraId="01BAA22F" w14:textId="77777777" w:rsidR="00D12DB3" w:rsidRDefault="00D12DB3" w:rsidP="00D12DB3">
      <w:pPr>
        <w:numPr>
          <w:ilvl w:val="0"/>
          <w:numId w:val="1"/>
        </w:numPr>
        <w:autoSpaceDE w:val="0"/>
        <w:autoSpaceDN w:val="0"/>
        <w:adjustRightInd w:val="0"/>
        <w:ind w:left="580" w:hanging="250"/>
        <w:rPr>
          <w:rFonts w:ascii="Verdana" w:hAnsi="Verdana" w:cs="Times New Roman"/>
          <w:szCs w:val="24"/>
        </w:rPr>
      </w:pPr>
      <w:r>
        <w:rPr>
          <w:rFonts w:ascii="Verdana" w:hAnsi="Verdana" w:cs="Times New Roman"/>
          <w:szCs w:val="24"/>
        </w:rPr>
        <w:t>elle est placée dans un pli scellé portant, outre les mentions exigées aux articles ci-dessus, la mention lisible « COPIE DE SAUVEGARDE ».</w:t>
      </w:r>
    </w:p>
    <w:p w14:paraId="6FEC9374" w14:textId="77777777" w:rsidR="00D12DB3" w:rsidRDefault="00D12DB3" w:rsidP="00D12DB3">
      <w:pPr>
        <w:autoSpaceDE w:val="0"/>
        <w:autoSpaceDN w:val="0"/>
        <w:adjustRightInd w:val="0"/>
        <w:rPr>
          <w:rFonts w:ascii="Verdana" w:hAnsi="Verdana" w:cs="Times New Roman"/>
          <w:szCs w:val="24"/>
        </w:rPr>
      </w:pPr>
    </w:p>
    <w:p w14:paraId="61E1B3B0"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La copie de sauvegarde ne sera ouverte que dans l'un des cas suivants :</w:t>
      </w:r>
    </w:p>
    <w:p w14:paraId="2AB76318" w14:textId="77777777" w:rsidR="00D12DB3" w:rsidRDefault="00D12DB3" w:rsidP="00D12DB3">
      <w:pPr>
        <w:numPr>
          <w:ilvl w:val="0"/>
          <w:numId w:val="1"/>
        </w:numPr>
        <w:autoSpaceDE w:val="0"/>
        <w:autoSpaceDN w:val="0"/>
        <w:adjustRightInd w:val="0"/>
        <w:ind w:left="580" w:hanging="250"/>
        <w:rPr>
          <w:rFonts w:ascii="Verdana" w:hAnsi="Verdana" w:cs="Times New Roman"/>
          <w:szCs w:val="24"/>
        </w:rPr>
      </w:pPr>
      <w:r>
        <w:rPr>
          <w:rFonts w:ascii="Verdana" w:hAnsi="Verdana" w:cs="Times New Roman"/>
          <w:szCs w:val="24"/>
        </w:rPr>
        <w:t>la candidature et l'offre transmises par voie électronique sont infectées par un virus ;</w:t>
      </w:r>
    </w:p>
    <w:p w14:paraId="586168BB" w14:textId="77777777" w:rsidR="00D12DB3" w:rsidRDefault="00D12DB3" w:rsidP="00D12DB3">
      <w:pPr>
        <w:numPr>
          <w:ilvl w:val="0"/>
          <w:numId w:val="1"/>
        </w:numPr>
        <w:autoSpaceDE w:val="0"/>
        <w:autoSpaceDN w:val="0"/>
        <w:adjustRightInd w:val="0"/>
        <w:ind w:left="580" w:hanging="250"/>
        <w:rPr>
          <w:rFonts w:ascii="Verdana" w:hAnsi="Verdana" w:cs="Times New Roman"/>
          <w:szCs w:val="24"/>
        </w:rPr>
      </w:pPr>
      <w:r>
        <w:rPr>
          <w:rFonts w:ascii="Verdana" w:hAnsi="Verdana" w:cs="Times New Roman"/>
          <w:szCs w:val="24"/>
        </w:rPr>
        <w:t>la candidature et l'offre transmises par voie électronique ne peuvent pas être ouvertes ;</w:t>
      </w:r>
    </w:p>
    <w:p w14:paraId="2BFBC60C" w14:textId="77777777" w:rsidR="00D12DB3" w:rsidRDefault="00D12DB3" w:rsidP="00D12DB3">
      <w:pPr>
        <w:numPr>
          <w:ilvl w:val="0"/>
          <w:numId w:val="1"/>
        </w:numPr>
        <w:autoSpaceDE w:val="0"/>
        <w:autoSpaceDN w:val="0"/>
        <w:adjustRightInd w:val="0"/>
        <w:ind w:left="580" w:hanging="250"/>
        <w:rPr>
          <w:rFonts w:ascii="Verdana" w:hAnsi="Verdana" w:cs="Times New Roman"/>
          <w:szCs w:val="24"/>
        </w:rPr>
      </w:pPr>
      <w:r>
        <w:rPr>
          <w:rFonts w:ascii="Verdana" w:hAnsi="Verdana" w:cs="Times New Roman"/>
          <w:szCs w:val="24"/>
        </w:rPr>
        <w:t xml:space="preserve">la copie de sauvegarde est parvenue dans le délai de dépôt des offres </w:t>
      </w:r>
      <w:r w:rsidRPr="00A81B91">
        <w:rPr>
          <w:rFonts w:ascii="Verdana" w:hAnsi="Verdana" w:cs="Times New Roman"/>
          <w:i/>
          <w:iCs/>
          <w:szCs w:val="24"/>
        </w:rPr>
        <w:t>a contrario</w:t>
      </w:r>
      <w:r>
        <w:rPr>
          <w:rFonts w:ascii="Verdana" w:hAnsi="Verdana" w:cs="Times New Roman"/>
          <w:szCs w:val="24"/>
        </w:rPr>
        <w:t xml:space="preserve"> de la réponse transmise par voie électronique.</w:t>
      </w:r>
    </w:p>
    <w:p w14:paraId="74E9745A" w14:textId="77777777" w:rsidR="00D12DB3" w:rsidRDefault="00D12DB3" w:rsidP="00D12DB3">
      <w:pPr>
        <w:autoSpaceDE w:val="0"/>
        <w:autoSpaceDN w:val="0"/>
        <w:adjustRightInd w:val="0"/>
        <w:rPr>
          <w:rFonts w:ascii="Verdana" w:hAnsi="Verdana" w:cs="Times New Roman"/>
          <w:szCs w:val="24"/>
        </w:rPr>
      </w:pPr>
    </w:p>
    <w:p w14:paraId="3B21912A" w14:textId="670E199E" w:rsidR="00D12DB3" w:rsidRPr="00D12517" w:rsidRDefault="00D12517" w:rsidP="00D12DB3">
      <w:pPr>
        <w:autoSpaceDE w:val="0"/>
        <w:autoSpaceDN w:val="0"/>
        <w:adjustRightInd w:val="0"/>
        <w:spacing w:before="100" w:after="100"/>
        <w:outlineLvl w:val="0"/>
        <w:rPr>
          <w:rFonts w:ascii="Verdana" w:eastAsiaTheme="majorEastAsia" w:hAnsi="Verdana" w:cs="Times New Roman"/>
          <w:b/>
          <w:sz w:val="24"/>
          <w:szCs w:val="24"/>
          <w:u w:val="single"/>
        </w:rPr>
      </w:pPr>
      <w:r w:rsidRPr="00D12517">
        <w:rPr>
          <w:rFonts w:ascii="Verdana" w:eastAsiaTheme="majorEastAsia" w:hAnsi="Verdana" w:cs="Times New Roman"/>
          <w:b/>
          <w:sz w:val="24"/>
          <w:szCs w:val="24"/>
          <w:u w:val="single"/>
        </w:rPr>
        <w:t>7 – D</w:t>
      </w:r>
      <w:r w:rsidR="00A81B91">
        <w:rPr>
          <w:rFonts w:ascii="Verdana" w:eastAsiaTheme="majorEastAsia" w:hAnsi="Verdana" w:cs="Times New Roman"/>
          <w:b/>
          <w:sz w:val="24"/>
          <w:szCs w:val="24"/>
          <w:u w:val="single"/>
        </w:rPr>
        <w:t>É</w:t>
      </w:r>
      <w:r w:rsidRPr="00D12517">
        <w:rPr>
          <w:rFonts w:ascii="Verdana" w:eastAsiaTheme="majorEastAsia" w:hAnsi="Verdana" w:cs="Times New Roman"/>
          <w:b/>
          <w:sz w:val="24"/>
          <w:szCs w:val="24"/>
          <w:u w:val="single"/>
        </w:rPr>
        <w:t xml:space="preserve">LAIS ET VOIES DE RECOURS </w:t>
      </w:r>
    </w:p>
    <w:p w14:paraId="3CA6965E" w14:textId="58998F5B" w:rsidR="00A92639"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Référé précontractuel : conformément aux dispositions des articles L551-1 et R551-1 du Code de Justice Administrative, avant la conclusion du contrat ;</w:t>
      </w:r>
    </w:p>
    <w:p w14:paraId="154DC9B0" w14:textId="02159F56" w:rsidR="00A92639"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 Référé contractuel : conformément aux dispositions des L551- 13 et R551-7 du Code de la Justice Administrative, dans un délai :</w:t>
      </w:r>
    </w:p>
    <w:p w14:paraId="32D32EE4" w14:textId="507B2126" w:rsidR="00A92639" w:rsidRDefault="00A92639" w:rsidP="00D12DB3">
      <w:pPr>
        <w:autoSpaceDE w:val="0"/>
        <w:autoSpaceDN w:val="0"/>
        <w:adjustRightInd w:val="0"/>
        <w:jc w:val="both"/>
        <w:rPr>
          <w:rFonts w:ascii="Verdana" w:hAnsi="Verdana" w:cs="Times New Roman"/>
          <w:szCs w:val="24"/>
        </w:rPr>
      </w:pPr>
      <w:r>
        <w:rPr>
          <w:rFonts w:ascii="Verdana" w:hAnsi="Verdana" w:cs="Times New Roman"/>
          <w:szCs w:val="24"/>
        </w:rPr>
        <w:t xml:space="preserve"> </w:t>
      </w:r>
      <w:r w:rsidR="00D12DB3">
        <w:rPr>
          <w:rFonts w:ascii="Verdana" w:hAnsi="Verdana" w:cs="Times New Roman"/>
          <w:szCs w:val="24"/>
        </w:rPr>
        <w:t>- de 31 jours suivant la publication d'un avis d'attribution du marché public</w:t>
      </w:r>
      <w:r w:rsidR="00A81B91">
        <w:rPr>
          <w:rFonts w:ascii="Verdana" w:hAnsi="Verdana" w:cs="Times New Roman"/>
          <w:szCs w:val="24"/>
        </w:rPr>
        <w:t> ;</w:t>
      </w:r>
      <w:r>
        <w:rPr>
          <w:rFonts w:ascii="Verdana" w:hAnsi="Verdana" w:cs="Times New Roman"/>
          <w:szCs w:val="24"/>
        </w:rPr>
        <w:t xml:space="preserve"> </w:t>
      </w:r>
    </w:p>
    <w:p w14:paraId="6641AD87" w14:textId="385C1F42" w:rsidR="00A92639"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lastRenderedPageBreak/>
        <w:t>- de 6 mois à compter du lendemain du jour de la conclusion du contrat en l'absence de publication d'un avis d'attribution</w:t>
      </w:r>
      <w:r w:rsidR="00A81B91">
        <w:rPr>
          <w:rFonts w:ascii="Verdana" w:hAnsi="Verdana" w:cs="Times New Roman"/>
          <w:szCs w:val="24"/>
        </w:rPr>
        <w:t> ;</w:t>
      </w:r>
      <w:r>
        <w:rPr>
          <w:rFonts w:ascii="Verdana" w:hAnsi="Verdana" w:cs="Times New Roman"/>
          <w:szCs w:val="24"/>
        </w:rPr>
        <w:t xml:space="preserve"> </w:t>
      </w:r>
    </w:p>
    <w:p w14:paraId="3B7FC5BA" w14:textId="77777777" w:rsidR="00A92639"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Ce recours ne peut être exercé dans les cas suivants :</w:t>
      </w:r>
    </w:p>
    <w:p w14:paraId="0A6B636E" w14:textId="3436F00F" w:rsidR="00A92639"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 à l'égard des marchés publics dont la passation n'est pas soumise à une obligation de publicité préalable lorsque le pouvoir adjudicateur a, avant la conclusion du contrat, rendu publique son intention de le conclure et observé un délai de onze jours après cette publication</w:t>
      </w:r>
      <w:r w:rsidR="00A81B91">
        <w:rPr>
          <w:rFonts w:ascii="Verdana" w:hAnsi="Verdana" w:cs="Times New Roman"/>
          <w:szCs w:val="24"/>
        </w:rPr>
        <w:t> ;</w:t>
      </w:r>
    </w:p>
    <w:p w14:paraId="203E4426" w14:textId="0E5B6765" w:rsidR="00A92639"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 à l'égard des marchés publics soumis à publicité préalable auxquels ne s'applique pas l'obligation de communiquer la décision d'attribution aux candidats non retenus (marchés à procédure adaptée) lorsque le pouvoir adjudicateur a, avant la conclusion du contrat, rendu publique son intention de le conclure et observé un délai de onze jours après cette publication</w:t>
      </w:r>
      <w:r w:rsidR="00A81B91">
        <w:rPr>
          <w:rFonts w:ascii="Verdana" w:hAnsi="Verdana" w:cs="Times New Roman"/>
          <w:szCs w:val="24"/>
        </w:rPr>
        <w:t> ;</w:t>
      </w:r>
    </w:p>
    <w:p w14:paraId="0A75F46F" w14:textId="2A01AEF8" w:rsidR="00A92639"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 par les demandeurs ayant fait usage du référé précontractuel dès lors que le pouvoir adjudicateur a respecté la suspension prévue à l'article L551-4 du code de justice administrative et s'est conformé à la décision juridictionnelle rendue sur ce recours</w:t>
      </w:r>
      <w:r w:rsidR="00A81B91">
        <w:rPr>
          <w:rFonts w:ascii="Verdana" w:hAnsi="Verdana" w:cs="Times New Roman"/>
          <w:szCs w:val="24"/>
        </w:rPr>
        <w:t> ;</w:t>
      </w:r>
    </w:p>
    <w:p w14:paraId="2931A820" w14:textId="2BA5B32F" w:rsidR="00A92639"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 Recours en excès de pouvoir : conformément aux dispositions de l'article R421-1 du Code de la Justice Administrative dans un délai de deux mois à compter de la notification de la décision d'attribution ou de rejet</w:t>
      </w:r>
      <w:r w:rsidR="00A81B91">
        <w:rPr>
          <w:rFonts w:ascii="Verdana" w:hAnsi="Verdana" w:cs="Times New Roman"/>
          <w:szCs w:val="24"/>
        </w:rPr>
        <w:t> ;</w:t>
      </w:r>
    </w:p>
    <w:p w14:paraId="11CAC477" w14:textId="0E501689"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 Recours de plein contentieux : conformément à l'article R421-1 du Code de la Justice Administrative et à l'arrêt du Conseil d'Etat du 4 avril 2014, tout tiers justifiant d'un intérêt lésé peut former un recours en pleine juridiction, dans un délai de deux mois à compter de la publicité annonçant la conclusion du marché public</w:t>
      </w:r>
      <w:r w:rsidR="00A81B91">
        <w:rPr>
          <w:rFonts w:ascii="Verdana" w:hAnsi="Verdana" w:cs="Times New Roman"/>
          <w:szCs w:val="24"/>
        </w:rPr>
        <w:t> ;</w:t>
      </w:r>
    </w:p>
    <w:p w14:paraId="674708B2" w14:textId="77777777" w:rsidR="00A92639" w:rsidRDefault="00A92639" w:rsidP="00D12DB3">
      <w:pPr>
        <w:autoSpaceDE w:val="0"/>
        <w:autoSpaceDN w:val="0"/>
        <w:adjustRightInd w:val="0"/>
        <w:jc w:val="both"/>
        <w:rPr>
          <w:rFonts w:ascii="Verdana" w:hAnsi="Verdana" w:cs="Times New Roman"/>
          <w:szCs w:val="24"/>
        </w:rPr>
      </w:pPr>
    </w:p>
    <w:p w14:paraId="2ADFB24B" w14:textId="5101140E" w:rsidR="00D12DB3" w:rsidRPr="00D12517" w:rsidRDefault="00D12517" w:rsidP="00D12DB3">
      <w:pPr>
        <w:autoSpaceDE w:val="0"/>
        <w:autoSpaceDN w:val="0"/>
        <w:adjustRightInd w:val="0"/>
        <w:spacing w:before="100" w:after="100"/>
        <w:outlineLvl w:val="0"/>
        <w:rPr>
          <w:rFonts w:ascii="Verdana" w:eastAsiaTheme="majorEastAsia" w:hAnsi="Verdana" w:cs="Times New Roman"/>
          <w:b/>
          <w:sz w:val="24"/>
          <w:szCs w:val="24"/>
          <w:u w:val="single"/>
        </w:rPr>
      </w:pPr>
      <w:r w:rsidRPr="00D12517">
        <w:rPr>
          <w:rFonts w:ascii="Verdana" w:eastAsiaTheme="majorEastAsia" w:hAnsi="Verdana" w:cs="Times New Roman"/>
          <w:b/>
          <w:sz w:val="24"/>
          <w:szCs w:val="24"/>
          <w:u w:val="single"/>
        </w:rPr>
        <w:t>8 – V</w:t>
      </w:r>
      <w:r w:rsidR="00A81B91">
        <w:rPr>
          <w:rFonts w:ascii="Verdana" w:eastAsiaTheme="majorEastAsia" w:hAnsi="Verdana" w:cs="Times New Roman"/>
          <w:b/>
          <w:sz w:val="24"/>
          <w:szCs w:val="24"/>
          <w:u w:val="single"/>
        </w:rPr>
        <w:t>É</w:t>
      </w:r>
      <w:r w:rsidRPr="00D12517">
        <w:rPr>
          <w:rFonts w:ascii="Verdana" w:eastAsiaTheme="majorEastAsia" w:hAnsi="Verdana" w:cs="Times New Roman"/>
          <w:b/>
          <w:sz w:val="24"/>
          <w:szCs w:val="24"/>
          <w:u w:val="single"/>
        </w:rPr>
        <w:t>RIFICATION DE LA SITUATION DE L'ATTRIBUTAIRE ENVISAG</w:t>
      </w:r>
      <w:r w:rsidR="00812439">
        <w:rPr>
          <w:rFonts w:ascii="Verdana" w:eastAsiaTheme="majorEastAsia" w:hAnsi="Verdana" w:cs="Times New Roman"/>
          <w:b/>
          <w:sz w:val="24"/>
          <w:szCs w:val="24"/>
          <w:u w:val="single"/>
        </w:rPr>
        <w:t>É</w:t>
      </w:r>
      <w:r w:rsidRPr="00D12517">
        <w:rPr>
          <w:rFonts w:ascii="Verdana" w:eastAsiaTheme="majorEastAsia" w:hAnsi="Verdana" w:cs="Times New Roman"/>
          <w:b/>
          <w:sz w:val="24"/>
          <w:szCs w:val="24"/>
          <w:u w:val="single"/>
        </w:rPr>
        <w:t xml:space="preserve"> AU REGARD DES INTERDICTIONS DE SOUMISSIONNER OBLIGATOIRES, DOCUMENTS A PRODUIRE ET SIGNATURE DE L'OFFRE</w:t>
      </w:r>
    </w:p>
    <w:p w14:paraId="62C7AF66" w14:textId="115ABAFA"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 xml:space="preserve">L'acheteur accepte comme preuve suffisante que le candidat ne se trouve pas dans un des cas d'interdiction de soumissionner visés </w:t>
      </w:r>
      <w:r w:rsidR="00B90D3F">
        <w:rPr>
          <w:rFonts w:ascii="Verdana" w:hAnsi="Verdana" w:cs="Times New Roman"/>
          <w:szCs w:val="24"/>
        </w:rPr>
        <w:t>aux</w:t>
      </w:r>
      <w:r>
        <w:rPr>
          <w:rFonts w:ascii="Verdana" w:hAnsi="Verdana" w:cs="Times New Roman"/>
          <w:szCs w:val="24"/>
        </w:rPr>
        <w:t xml:space="preserve"> </w:t>
      </w:r>
      <w:r w:rsidRPr="0091359D">
        <w:rPr>
          <w:rFonts w:ascii="Verdana" w:hAnsi="Verdana" w:cs="Times New Roman"/>
          <w:szCs w:val="24"/>
        </w:rPr>
        <w:t>article</w:t>
      </w:r>
      <w:r w:rsidR="00B90D3F" w:rsidRPr="0091359D">
        <w:rPr>
          <w:rFonts w:ascii="Verdana" w:hAnsi="Verdana" w:cs="Times New Roman"/>
          <w:szCs w:val="24"/>
        </w:rPr>
        <w:t>s L2141-1 à L2141-5 du Code de la Commande Publique</w:t>
      </w:r>
      <w:r w:rsidRPr="0091359D">
        <w:rPr>
          <w:rFonts w:ascii="Verdana" w:hAnsi="Verdana" w:cs="Times New Roman"/>
          <w:szCs w:val="24"/>
        </w:rPr>
        <w:t>, les documents justificatifs suivants :</w:t>
      </w:r>
    </w:p>
    <w:p w14:paraId="21A0D930" w14:textId="390FAE19" w:rsidR="00D12DB3" w:rsidRDefault="00D12DB3" w:rsidP="00812439">
      <w:pPr>
        <w:numPr>
          <w:ilvl w:val="0"/>
          <w:numId w:val="1"/>
        </w:numPr>
        <w:autoSpaceDE w:val="0"/>
        <w:autoSpaceDN w:val="0"/>
        <w:adjustRightInd w:val="0"/>
        <w:ind w:left="580" w:hanging="250"/>
        <w:jc w:val="both"/>
        <w:rPr>
          <w:rFonts w:ascii="Verdana" w:hAnsi="Verdana" w:cs="Times New Roman"/>
          <w:szCs w:val="24"/>
        </w:rPr>
      </w:pPr>
      <w:r>
        <w:rPr>
          <w:rFonts w:ascii="Verdana" w:hAnsi="Verdana" w:cs="Times New Roman"/>
          <w:szCs w:val="24"/>
        </w:rPr>
        <w:t>Extrait du registre pertinent, tel qu'un extrait K, un extrait K bis, un extrait D1 ou, à défaut, d'un document équivalent délivré par l'autorité judiciaire ou administrative compétente du pays d'origine ou d'établissement du candidat, attestant de l'absence de cas d'exclusion mentionnés au 3° de l'article 45 de l'ordonnance du 23 juillet 2015 et si le candidat est en redressement judiciaire, la copie du ou des jugements prononcés</w:t>
      </w:r>
      <w:r w:rsidR="00812439">
        <w:rPr>
          <w:rFonts w:ascii="Verdana" w:hAnsi="Verdana" w:cs="Times New Roman"/>
          <w:szCs w:val="24"/>
        </w:rPr>
        <w:t> ;</w:t>
      </w:r>
    </w:p>
    <w:p w14:paraId="3CF88E40" w14:textId="07611F9C" w:rsidR="0091359D" w:rsidRPr="0091359D" w:rsidRDefault="0091359D" w:rsidP="0091359D">
      <w:pPr>
        <w:pStyle w:val="Paragraphedeliste"/>
        <w:numPr>
          <w:ilvl w:val="0"/>
          <w:numId w:val="1"/>
        </w:numPr>
        <w:autoSpaceDE w:val="0"/>
        <w:autoSpaceDN w:val="0"/>
        <w:adjustRightInd w:val="0"/>
        <w:ind w:left="567" w:hanging="283"/>
        <w:jc w:val="both"/>
        <w:rPr>
          <w:rFonts w:ascii="Verdana" w:hAnsi="Verdana" w:cs="Times New Roman"/>
        </w:rPr>
      </w:pPr>
      <w:r w:rsidRPr="0091359D">
        <w:rPr>
          <w:rFonts w:ascii="Verdana" w:hAnsi="Verdana" w:cs="Times New Roman"/>
        </w:rPr>
        <w:t>Déclaration sur l’honneur du candidat justifiant que ce dernier n’entre pas dans un des cas d’exclusion prévus aux articles L2141-1 à L2141-5 et aux articles L2141-7à L2141-10 ou aux articles L2341-1 à L2341-3 et aux articles L2141-7 à L 2141-10 du Code de la Commande Publique</w:t>
      </w:r>
      <w:r w:rsidR="00812439">
        <w:rPr>
          <w:rFonts w:ascii="Verdana" w:hAnsi="Verdana" w:cs="Times New Roman"/>
        </w:rPr>
        <w:t> ;</w:t>
      </w:r>
    </w:p>
    <w:p w14:paraId="75B5412D" w14:textId="727AFC46" w:rsidR="00D12DB3" w:rsidRPr="00B34961" w:rsidRDefault="00D12DB3" w:rsidP="00B34961">
      <w:pPr>
        <w:pStyle w:val="Paragraphedeliste"/>
        <w:numPr>
          <w:ilvl w:val="0"/>
          <w:numId w:val="1"/>
        </w:numPr>
        <w:autoSpaceDE w:val="0"/>
        <w:autoSpaceDN w:val="0"/>
        <w:adjustRightInd w:val="0"/>
        <w:ind w:left="567" w:hanging="283"/>
        <w:jc w:val="both"/>
        <w:rPr>
          <w:rFonts w:ascii="Verdana" w:hAnsi="Verdana" w:cs="Times New Roman"/>
        </w:rPr>
      </w:pPr>
      <w:r w:rsidRPr="0091359D">
        <w:rPr>
          <w:rFonts w:ascii="Verdana" w:hAnsi="Verdana" w:cs="Times New Roman"/>
          <w:szCs w:val="24"/>
        </w:rPr>
        <w:t>Attestations et certificats délivrés par les administrations et organismes compétents</w:t>
      </w:r>
      <w:r>
        <w:rPr>
          <w:rFonts w:ascii="Verdana" w:hAnsi="Verdana" w:cs="Times New Roman"/>
          <w:szCs w:val="24"/>
        </w:rPr>
        <w:t xml:space="preserve"> attestant que le candidat ne se trouve pas dans un cas d'interdiction de soumissionner mentionné</w:t>
      </w:r>
      <w:r w:rsidR="00812439">
        <w:rPr>
          <w:rFonts w:ascii="Verdana" w:hAnsi="Verdana" w:cs="Times New Roman"/>
          <w:szCs w:val="24"/>
        </w:rPr>
        <w:t>e</w:t>
      </w:r>
      <w:r>
        <w:rPr>
          <w:rFonts w:ascii="Verdana" w:hAnsi="Verdana" w:cs="Times New Roman"/>
          <w:szCs w:val="24"/>
        </w:rPr>
        <w:t xml:space="preserve"> </w:t>
      </w:r>
      <w:r w:rsidR="00B34961" w:rsidRPr="0091359D">
        <w:rPr>
          <w:rFonts w:ascii="Verdana" w:hAnsi="Verdana" w:cs="Times New Roman"/>
        </w:rPr>
        <w:t>aux articles L2141-1 à L2141-5 et aux articles L2141-7à L2141-10 ou aux articles L2341-1 à L2341-3 et aux articles L2141-7 à L2141-10 du Code de la Commande Publique</w:t>
      </w:r>
      <w:r w:rsidR="00B34961">
        <w:rPr>
          <w:rFonts w:ascii="Verdana" w:hAnsi="Verdana" w:cs="Times New Roman"/>
        </w:rPr>
        <w:t xml:space="preserve"> </w:t>
      </w:r>
      <w:r w:rsidRPr="00B34961">
        <w:rPr>
          <w:rFonts w:ascii="Verdana" w:hAnsi="Verdana" w:cs="Times New Roman"/>
          <w:szCs w:val="24"/>
        </w:rPr>
        <w:t>ou documents équivalents en cas de candidat étranger.</w:t>
      </w:r>
    </w:p>
    <w:p w14:paraId="45924093" w14:textId="500B16C9" w:rsidR="00D12DB3" w:rsidRDefault="00D12DB3" w:rsidP="00812439">
      <w:pPr>
        <w:numPr>
          <w:ilvl w:val="0"/>
          <w:numId w:val="1"/>
        </w:numPr>
        <w:autoSpaceDE w:val="0"/>
        <w:autoSpaceDN w:val="0"/>
        <w:adjustRightInd w:val="0"/>
        <w:ind w:left="580" w:hanging="250"/>
        <w:jc w:val="both"/>
        <w:rPr>
          <w:rFonts w:ascii="Verdana" w:hAnsi="Verdana" w:cs="Times New Roman"/>
          <w:szCs w:val="24"/>
        </w:rPr>
      </w:pPr>
      <w:r>
        <w:rPr>
          <w:rFonts w:ascii="Verdana" w:hAnsi="Verdana" w:cs="Times New Roman"/>
          <w:szCs w:val="24"/>
        </w:rPr>
        <w:t>Les pièces prévues aux articles R.1263-12, D8222-5 ou D8222-7 ou D8254-2 à D8254-5 du code du travail.</w:t>
      </w:r>
    </w:p>
    <w:p w14:paraId="16C43088" w14:textId="77777777" w:rsidR="00D12DB3" w:rsidRDefault="00D12DB3" w:rsidP="00D12DB3">
      <w:pPr>
        <w:autoSpaceDE w:val="0"/>
        <w:autoSpaceDN w:val="0"/>
        <w:adjustRightInd w:val="0"/>
        <w:rPr>
          <w:rFonts w:ascii="Verdana" w:hAnsi="Verdana" w:cs="Times New Roman"/>
          <w:szCs w:val="24"/>
        </w:rPr>
      </w:pPr>
    </w:p>
    <w:p w14:paraId="7F867ECF"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Ces pièces seront à remettre par le candidat choisi comme attributaire de l'accord-cadre dans un délai de 10 jours à compter de la date de réception de la demande émise par le pouvoir adjudicateur.</w:t>
      </w:r>
    </w:p>
    <w:p w14:paraId="65BBCE3F" w14:textId="77777777"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t>Cependant, ces pièces n'ont pas à être remises si le candidat a fait figurer dans son dossier de candidature toutes les informations nécessaires à la consultation gratuite et en ligne par l'acheteur de ces mêmes pièces justificatives.</w:t>
      </w:r>
    </w:p>
    <w:p w14:paraId="70E43B3F" w14:textId="4FAE2383" w:rsidR="00D12DB3" w:rsidRDefault="00D12DB3" w:rsidP="00D12DB3">
      <w:pPr>
        <w:autoSpaceDE w:val="0"/>
        <w:autoSpaceDN w:val="0"/>
        <w:adjustRightInd w:val="0"/>
        <w:jc w:val="both"/>
        <w:rPr>
          <w:rFonts w:ascii="Verdana" w:hAnsi="Verdana" w:cs="Times New Roman"/>
          <w:szCs w:val="24"/>
        </w:rPr>
      </w:pPr>
      <w:r>
        <w:rPr>
          <w:rFonts w:ascii="Verdana" w:hAnsi="Verdana" w:cs="Times New Roman"/>
          <w:szCs w:val="24"/>
        </w:rPr>
        <w:lastRenderedPageBreak/>
        <w:t>Une fois ces pièces remises, l'acte d'engagement est signé par l'attributaire, si celui-ci ne l'était pas initialement. En cas de groupement celui-ci sera signé par chaque membre du groupement ou par le mandataire d</w:t>
      </w:r>
      <w:r w:rsidR="00812439">
        <w:rPr>
          <w:rFonts w:ascii="Verdana" w:hAnsi="Verdana" w:cs="Times New Roman"/>
          <w:szCs w:val="24"/>
        </w:rPr>
        <w:t>û</w:t>
      </w:r>
      <w:r>
        <w:rPr>
          <w:rFonts w:ascii="Verdana" w:hAnsi="Verdana" w:cs="Times New Roman"/>
          <w:szCs w:val="24"/>
        </w:rPr>
        <w:t>ment habilité par un document d'habilitation signé par les autres membres du groupement et précisant les conditions de cette habilitation.</w:t>
      </w:r>
    </w:p>
    <w:p w14:paraId="6497BD49" w14:textId="2C4576F5" w:rsidR="00D12517" w:rsidRDefault="00D12517" w:rsidP="00D12DB3">
      <w:pPr>
        <w:autoSpaceDE w:val="0"/>
        <w:autoSpaceDN w:val="0"/>
        <w:adjustRightInd w:val="0"/>
        <w:jc w:val="both"/>
        <w:rPr>
          <w:rFonts w:ascii="Verdana" w:hAnsi="Verdana" w:cs="Times New Roman"/>
          <w:szCs w:val="24"/>
        </w:rPr>
      </w:pPr>
    </w:p>
    <w:p w14:paraId="7FF15BE2" w14:textId="77777777" w:rsidR="00D12517" w:rsidRDefault="00D12517" w:rsidP="00D12DB3">
      <w:pPr>
        <w:autoSpaceDE w:val="0"/>
        <w:autoSpaceDN w:val="0"/>
        <w:adjustRightInd w:val="0"/>
        <w:jc w:val="both"/>
        <w:rPr>
          <w:rFonts w:ascii="Verdana" w:hAnsi="Verdana" w:cs="Times New Roman"/>
          <w:szCs w:val="24"/>
        </w:rPr>
      </w:pPr>
    </w:p>
    <w:p w14:paraId="2F690FF3" w14:textId="4161D33A" w:rsidR="00D12517" w:rsidRDefault="00D12517" w:rsidP="00D12DB3">
      <w:pPr>
        <w:autoSpaceDE w:val="0"/>
        <w:autoSpaceDN w:val="0"/>
        <w:adjustRightInd w:val="0"/>
        <w:jc w:val="both"/>
        <w:rPr>
          <w:rFonts w:ascii="Verdana" w:hAnsi="Verdana" w:cs="Times New Roman"/>
          <w:b/>
          <w:bCs/>
          <w:sz w:val="24"/>
          <w:szCs w:val="24"/>
          <w:u w:val="single"/>
        </w:rPr>
      </w:pPr>
      <w:r w:rsidRPr="00D12517">
        <w:rPr>
          <w:rFonts w:ascii="Verdana" w:hAnsi="Verdana" w:cs="Times New Roman"/>
          <w:b/>
          <w:bCs/>
          <w:sz w:val="24"/>
          <w:szCs w:val="24"/>
          <w:u w:val="single"/>
        </w:rPr>
        <w:t>9 – RENSEIGNEMENTS COMPL</w:t>
      </w:r>
      <w:r>
        <w:rPr>
          <w:rFonts w:ascii="Verdana" w:hAnsi="Verdana" w:cs="Times New Roman"/>
          <w:b/>
          <w:bCs/>
          <w:sz w:val="24"/>
          <w:szCs w:val="24"/>
          <w:u w:val="single"/>
        </w:rPr>
        <w:t>É</w:t>
      </w:r>
      <w:r w:rsidRPr="00D12517">
        <w:rPr>
          <w:rFonts w:ascii="Verdana" w:hAnsi="Verdana" w:cs="Times New Roman"/>
          <w:b/>
          <w:bCs/>
          <w:sz w:val="24"/>
          <w:szCs w:val="24"/>
          <w:u w:val="single"/>
        </w:rPr>
        <w:t>MENTAIRES</w:t>
      </w:r>
    </w:p>
    <w:p w14:paraId="60F1422B" w14:textId="22844D41" w:rsidR="00D12517" w:rsidRDefault="00D12517" w:rsidP="00D12DB3">
      <w:pPr>
        <w:autoSpaceDE w:val="0"/>
        <w:autoSpaceDN w:val="0"/>
        <w:adjustRightInd w:val="0"/>
        <w:jc w:val="both"/>
        <w:rPr>
          <w:rFonts w:ascii="Verdana" w:hAnsi="Verdana" w:cs="Times New Roman"/>
          <w:b/>
          <w:bCs/>
          <w:sz w:val="24"/>
          <w:szCs w:val="24"/>
          <w:u w:val="single"/>
        </w:rPr>
      </w:pPr>
    </w:p>
    <w:p w14:paraId="48948417" w14:textId="4A4D9982" w:rsidR="00D12517" w:rsidRDefault="00D12517" w:rsidP="00D12DB3">
      <w:pPr>
        <w:autoSpaceDE w:val="0"/>
        <w:autoSpaceDN w:val="0"/>
        <w:adjustRightInd w:val="0"/>
        <w:jc w:val="both"/>
        <w:rPr>
          <w:rFonts w:ascii="Verdana" w:hAnsi="Verdana" w:cs="Times New Roman"/>
        </w:rPr>
      </w:pPr>
      <w:r>
        <w:rPr>
          <w:rFonts w:ascii="Verdana" w:hAnsi="Verdana" w:cs="Times New Roman"/>
        </w:rPr>
        <w:t xml:space="preserve">Pour obtenir tous les renseignements complémentaires qui leur seraient nécessaires au cours de leur étude, les candidats devront impérativement transmettre leur demande au plus tard </w:t>
      </w:r>
      <w:r w:rsidR="00050803">
        <w:rPr>
          <w:rFonts w:ascii="Verdana" w:hAnsi="Verdana" w:cs="Times New Roman"/>
        </w:rPr>
        <w:t>7</w:t>
      </w:r>
      <w:r>
        <w:rPr>
          <w:rFonts w:ascii="Verdana" w:hAnsi="Verdana" w:cs="Times New Roman"/>
        </w:rPr>
        <w:t xml:space="preserve"> jours avant la date limite de remise des offres et ce uniquement via la plateforme :</w:t>
      </w:r>
    </w:p>
    <w:p w14:paraId="4ABF8D5B" w14:textId="319EA93C" w:rsidR="00D12517" w:rsidRDefault="00D12517" w:rsidP="00D12DB3">
      <w:pPr>
        <w:autoSpaceDE w:val="0"/>
        <w:autoSpaceDN w:val="0"/>
        <w:adjustRightInd w:val="0"/>
        <w:jc w:val="both"/>
        <w:rPr>
          <w:rFonts w:ascii="Verdana" w:hAnsi="Verdana" w:cs="Times New Roman"/>
        </w:rPr>
      </w:pPr>
    </w:p>
    <w:p w14:paraId="2ECF4015" w14:textId="14F2E6C5" w:rsidR="00D12517" w:rsidRDefault="00D12517" w:rsidP="00D12517">
      <w:pPr>
        <w:autoSpaceDE w:val="0"/>
        <w:autoSpaceDN w:val="0"/>
        <w:adjustRightInd w:val="0"/>
        <w:jc w:val="center"/>
        <w:rPr>
          <w:rFonts w:ascii="Verdana" w:hAnsi="Verdana" w:cs="Times New Roman"/>
        </w:rPr>
      </w:pPr>
      <w:hyperlink r:id="rId13" w:history="1">
        <w:r w:rsidRPr="00316B9F">
          <w:rPr>
            <w:rStyle w:val="Lienhypertexte"/>
            <w:rFonts w:ascii="Verdana" w:hAnsi="Verdana" w:cs="Times New Roman"/>
          </w:rPr>
          <w:t>www.marches-securises.fr</w:t>
        </w:r>
      </w:hyperlink>
    </w:p>
    <w:p w14:paraId="458BD3EE" w14:textId="204E2C6D" w:rsidR="00D86B7E" w:rsidRDefault="00D86B7E" w:rsidP="00D12517">
      <w:pPr>
        <w:autoSpaceDE w:val="0"/>
        <w:autoSpaceDN w:val="0"/>
        <w:adjustRightInd w:val="0"/>
        <w:jc w:val="center"/>
        <w:rPr>
          <w:rFonts w:ascii="Verdana" w:hAnsi="Verdana" w:cs="Times New Roman"/>
        </w:rPr>
      </w:pPr>
    </w:p>
    <w:p w14:paraId="720B18B4" w14:textId="378C35BC" w:rsidR="00D86B7E" w:rsidRDefault="00D86B7E" w:rsidP="00D86B7E">
      <w:pPr>
        <w:autoSpaceDE w:val="0"/>
        <w:autoSpaceDN w:val="0"/>
        <w:adjustRightInd w:val="0"/>
        <w:jc w:val="both"/>
        <w:rPr>
          <w:rFonts w:ascii="Verdana" w:hAnsi="Verdana" w:cs="Times New Roman"/>
        </w:rPr>
      </w:pPr>
      <w:r>
        <w:rPr>
          <w:rFonts w:ascii="Verdana" w:hAnsi="Verdana" w:cs="Times New Roman"/>
        </w:rPr>
        <w:t>Une réponse sera alors adressée, par écrit, à toutes les entreprises ayant retiré le dossier. Il ne sera répondu à aucune question orale.</w:t>
      </w:r>
    </w:p>
    <w:p w14:paraId="18F6408B" w14:textId="074CD449" w:rsidR="00D86B7E" w:rsidRDefault="00D86B7E" w:rsidP="00D86B7E">
      <w:pPr>
        <w:autoSpaceDE w:val="0"/>
        <w:autoSpaceDN w:val="0"/>
        <w:adjustRightInd w:val="0"/>
        <w:jc w:val="both"/>
        <w:rPr>
          <w:rFonts w:ascii="Verdana" w:hAnsi="Verdana" w:cs="Times New Roman"/>
        </w:rPr>
      </w:pPr>
      <w:r>
        <w:rPr>
          <w:rFonts w:ascii="Verdana" w:hAnsi="Verdana" w:cs="Times New Roman"/>
        </w:rPr>
        <w:t>Les questions, comme l’instruction des réponses, seront traitées dans le respect du principe d’égalité de traitement des concurrents.</w:t>
      </w:r>
    </w:p>
    <w:p w14:paraId="230E41C4" w14:textId="77777777" w:rsidR="00D12DB3" w:rsidRPr="00AB45E5" w:rsidRDefault="00D12DB3" w:rsidP="005F6429">
      <w:pPr>
        <w:autoSpaceDE w:val="0"/>
        <w:autoSpaceDN w:val="0"/>
        <w:adjustRightInd w:val="0"/>
        <w:jc w:val="both"/>
        <w:rPr>
          <w:rFonts w:ascii="Verdana" w:hAnsi="Verdana" w:cs="Times New Roman"/>
          <w:b/>
          <w:bCs/>
          <w:sz w:val="22"/>
          <w:szCs w:val="22"/>
          <w:u w:val="single"/>
        </w:rPr>
      </w:pPr>
    </w:p>
    <w:sectPr w:rsidR="00D12DB3" w:rsidRPr="00AB45E5" w:rsidSect="00561C19">
      <w:footerReference w:type="default" r:id="rId14"/>
      <w:pgSz w:w="11906" w:h="16838"/>
      <w:pgMar w:top="1417" w:right="1417" w:bottom="1417" w:left="1417" w:header="708"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7B408" w14:textId="77777777" w:rsidR="00BB34E2" w:rsidRDefault="00BB34E2"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separator/>
      </w:r>
    </w:p>
  </w:endnote>
  <w:endnote w:type="continuationSeparator" w:id="0">
    <w:p w14:paraId="6663F992" w14:textId="77777777" w:rsidR="00BB34E2" w:rsidRDefault="00BB34E2"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6BEB9" w14:textId="77777777" w:rsidR="00BB34E2" w:rsidRPr="00561C19" w:rsidRDefault="00BB34E2">
    <w:pPr>
      <w:tabs>
        <w:tab w:val="center" w:pos="4536"/>
        <w:tab w:val="right" w:pos="9072"/>
      </w:tabs>
      <w:spacing w:after="200" w:line="276" w:lineRule="auto"/>
      <w:jc w:val="right"/>
      <w:rPr>
        <w:rFonts w:cs="Times New Roman"/>
        <w:color w:val="80D8F4"/>
        <w:sz w:val="22"/>
        <w:szCs w:val="22"/>
        <w:lang w:eastAsia="en-US"/>
      </w:rPr>
    </w:pPr>
    <w:r>
      <w:rPr>
        <w:rFonts w:ascii="Times New Roman" w:hAnsi="Times New Roman" w:cs="Times New Roman"/>
        <w:sz w:val="24"/>
        <w:szCs w:val="24"/>
      </w:rPr>
      <w:t xml:space="preserve"> </w:t>
    </w:r>
    <w:r w:rsidRPr="00561C19">
      <w:rPr>
        <w:rFonts w:cs="Times New Roman"/>
        <w:color w:val="80D8F4"/>
        <w:sz w:val="22"/>
        <w:szCs w:val="22"/>
        <w:lang w:eastAsia="en-US"/>
      </w:rPr>
      <w:t xml:space="preserve">Page </w:t>
    </w:r>
    <w:r w:rsidR="008D3471" w:rsidRPr="00561C19">
      <w:rPr>
        <w:rFonts w:cs="Times New Roman"/>
        <w:b/>
        <w:bCs/>
        <w:color w:val="80D8F4"/>
        <w:sz w:val="22"/>
        <w:szCs w:val="22"/>
        <w:lang w:eastAsia="en-US"/>
      </w:rPr>
      <w:fldChar w:fldCharType="begin"/>
    </w:r>
    <w:r w:rsidRPr="00561C19">
      <w:rPr>
        <w:rFonts w:cs="Times New Roman"/>
        <w:b/>
        <w:bCs/>
        <w:color w:val="80D8F4"/>
        <w:sz w:val="22"/>
        <w:szCs w:val="22"/>
        <w:lang w:eastAsia="en-US"/>
      </w:rPr>
      <w:instrText>PAGE</w:instrText>
    </w:r>
    <w:r w:rsidR="008D3471" w:rsidRPr="00561C19">
      <w:rPr>
        <w:rFonts w:cs="Times New Roman"/>
        <w:b/>
        <w:bCs/>
        <w:color w:val="80D8F4"/>
        <w:sz w:val="22"/>
        <w:szCs w:val="22"/>
        <w:lang w:eastAsia="en-US"/>
      </w:rPr>
      <w:fldChar w:fldCharType="separate"/>
    </w:r>
    <w:r w:rsidR="0070239F">
      <w:rPr>
        <w:rFonts w:cs="Times New Roman"/>
        <w:b/>
        <w:bCs/>
        <w:noProof/>
        <w:color w:val="80D8F4"/>
        <w:sz w:val="22"/>
        <w:szCs w:val="22"/>
        <w:lang w:eastAsia="en-US"/>
      </w:rPr>
      <w:t>6</w:t>
    </w:r>
    <w:r w:rsidR="008D3471" w:rsidRPr="00561C19">
      <w:rPr>
        <w:rFonts w:cs="Times New Roman"/>
        <w:b/>
        <w:bCs/>
        <w:color w:val="80D8F4"/>
        <w:sz w:val="22"/>
        <w:szCs w:val="22"/>
        <w:lang w:eastAsia="en-US"/>
      </w:rPr>
      <w:fldChar w:fldCharType="end"/>
    </w:r>
    <w:r w:rsidRPr="00561C19">
      <w:rPr>
        <w:rFonts w:cs="Times New Roman"/>
        <w:color w:val="80D8F4"/>
        <w:sz w:val="22"/>
        <w:szCs w:val="22"/>
        <w:lang w:eastAsia="en-US"/>
      </w:rPr>
      <w:t xml:space="preserve"> sur </w:t>
    </w:r>
    <w:r w:rsidR="008D3471" w:rsidRPr="00561C19">
      <w:rPr>
        <w:rFonts w:cs="Times New Roman"/>
        <w:b/>
        <w:bCs/>
        <w:color w:val="80D8F4"/>
        <w:sz w:val="22"/>
        <w:szCs w:val="22"/>
        <w:lang w:eastAsia="en-US"/>
      </w:rPr>
      <w:fldChar w:fldCharType="begin"/>
    </w:r>
    <w:r w:rsidRPr="00561C19">
      <w:rPr>
        <w:rFonts w:cs="Times New Roman"/>
        <w:b/>
        <w:bCs/>
        <w:color w:val="80D8F4"/>
        <w:sz w:val="22"/>
        <w:szCs w:val="22"/>
        <w:lang w:eastAsia="en-US"/>
      </w:rPr>
      <w:instrText>NUMPAGES</w:instrText>
    </w:r>
    <w:r w:rsidR="008D3471" w:rsidRPr="00561C19">
      <w:rPr>
        <w:rFonts w:cs="Times New Roman"/>
        <w:b/>
        <w:bCs/>
        <w:color w:val="80D8F4"/>
        <w:sz w:val="22"/>
        <w:szCs w:val="22"/>
        <w:lang w:eastAsia="en-US"/>
      </w:rPr>
      <w:fldChar w:fldCharType="separate"/>
    </w:r>
    <w:r w:rsidR="0070239F">
      <w:rPr>
        <w:rFonts w:cs="Times New Roman"/>
        <w:b/>
        <w:bCs/>
        <w:noProof/>
        <w:color w:val="80D8F4"/>
        <w:sz w:val="22"/>
        <w:szCs w:val="22"/>
        <w:lang w:eastAsia="en-US"/>
      </w:rPr>
      <w:t>8</w:t>
    </w:r>
    <w:r w:rsidR="008D3471" w:rsidRPr="00561C19">
      <w:rPr>
        <w:rFonts w:cs="Times New Roman"/>
        <w:b/>
        <w:bCs/>
        <w:color w:val="80D8F4"/>
        <w:sz w:val="22"/>
        <w:szCs w:val="22"/>
        <w:lang w:eastAsia="en-US"/>
      </w:rPr>
      <w:fldChar w:fldCharType="end"/>
    </w:r>
  </w:p>
  <w:p w14:paraId="699F8F61" w14:textId="77777777" w:rsidR="00BB34E2" w:rsidRDefault="00BB34E2">
    <w:pPr>
      <w:tabs>
        <w:tab w:val="center" w:pos="4536"/>
        <w:tab w:val="right" w:pos="9072"/>
      </w:tabs>
      <w:spacing w:after="200" w:line="276" w:lineRule="auto"/>
      <w:rPr>
        <w:rFonts w:cs="Times New Roman"/>
        <w:sz w:val="22"/>
        <w:szCs w:val="22"/>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BB75F" w14:textId="77777777" w:rsidR="00BB34E2" w:rsidRDefault="00BB34E2"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separator/>
      </w:r>
    </w:p>
  </w:footnote>
  <w:footnote w:type="continuationSeparator" w:id="0">
    <w:p w14:paraId="51FC8DA9" w14:textId="77777777" w:rsidR="00BB34E2" w:rsidRDefault="00BB34E2"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066C5E4"/>
    <w:lvl w:ilvl="0">
      <w:numFmt w:val="bullet"/>
      <w:lvlText w:val="*"/>
      <w:lvlJc w:val="left"/>
    </w:lvl>
  </w:abstractNum>
  <w:abstractNum w:abstractNumId="1" w15:restartNumberingAfterBreak="0">
    <w:nsid w:val="00BF48A2"/>
    <w:multiLevelType w:val="hybridMultilevel"/>
    <w:tmpl w:val="434C19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4313E4"/>
    <w:multiLevelType w:val="hybridMultilevel"/>
    <w:tmpl w:val="E948FBFE"/>
    <w:lvl w:ilvl="0" w:tplc="5CFA81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F6D7F79"/>
    <w:multiLevelType w:val="hybridMultilevel"/>
    <w:tmpl w:val="85048D26"/>
    <w:lvl w:ilvl="0" w:tplc="BC440E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3F97124"/>
    <w:multiLevelType w:val="hybridMultilevel"/>
    <w:tmpl w:val="559A4CE2"/>
    <w:lvl w:ilvl="0" w:tplc="B964BA9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9E24677"/>
    <w:multiLevelType w:val="hybridMultilevel"/>
    <w:tmpl w:val="910021F0"/>
    <w:lvl w:ilvl="0" w:tplc="08C84FFA">
      <w:start w:val="2"/>
      <w:numFmt w:val="bullet"/>
      <w:lvlText w:val="-"/>
      <w:lvlJc w:val="left"/>
      <w:pPr>
        <w:ind w:left="1065" w:hanging="360"/>
      </w:pPr>
      <w:rPr>
        <w:rFonts w:ascii="Verdana" w:eastAsia="Times New Roman" w:hAnsi="Verdana"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16cid:durableId="810293570">
    <w:abstractNumId w:val="0"/>
    <w:lvlOverride w:ilvl="0">
      <w:lvl w:ilvl="0">
        <w:numFmt w:val="bullet"/>
        <w:lvlText w:val=""/>
        <w:legacy w:legacy="1" w:legacySpace="0" w:legacyIndent="0"/>
        <w:lvlJc w:val="left"/>
        <w:rPr>
          <w:rFonts w:ascii="Symbol" w:hAnsi="Symbol" w:hint="default"/>
        </w:rPr>
      </w:lvl>
    </w:lvlOverride>
  </w:num>
  <w:num w:numId="2" w16cid:durableId="1354451618">
    <w:abstractNumId w:val="0"/>
    <w:lvlOverride w:ilvl="0">
      <w:lvl w:ilvl="0">
        <w:numFmt w:val="bullet"/>
        <w:lvlText w:val=""/>
        <w:legacy w:legacy="1" w:legacySpace="0" w:legacyIndent="0"/>
        <w:lvlJc w:val="left"/>
        <w:rPr>
          <w:rFonts w:ascii="Wingdings" w:hAnsi="Wingdings" w:hint="default"/>
        </w:rPr>
      </w:lvl>
    </w:lvlOverride>
  </w:num>
  <w:num w:numId="3" w16cid:durableId="876505000">
    <w:abstractNumId w:val="4"/>
  </w:num>
  <w:num w:numId="4" w16cid:durableId="652493548">
    <w:abstractNumId w:val="2"/>
  </w:num>
  <w:num w:numId="5" w16cid:durableId="876044224">
    <w:abstractNumId w:val="3"/>
  </w:num>
  <w:num w:numId="6" w16cid:durableId="1929340374">
    <w:abstractNumId w:val="5"/>
  </w:num>
  <w:num w:numId="7" w16cid:durableId="14263460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E4C21"/>
    <w:rsid w:val="000052F4"/>
    <w:rsid w:val="00020782"/>
    <w:rsid w:val="00034461"/>
    <w:rsid w:val="00047F1E"/>
    <w:rsid w:val="00050803"/>
    <w:rsid w:val="0006584D"/>
    <w:rsid w:val="00071EC1"/>
    <w:rsid w:val="000A2D47"/>
    <w:rsid w:val="000A2FC4"/>
    <w:rsid w:val="000F2E8A"/>
    <w:rsid w:val="00100084"/>
    <w:rsid w:val="00104690"/>
    <w:rsid w:val="00126D58"/>
    <w:rsid w:val="001646B3"/>
    <w:rsid w:val="0018433C"/>
    <w:rsid w:val="00184DCB"/>
    <w:rsid w:val="001C55E8"/>
    <w:rsid w:val="001D5187"/>
    <w:rsid w:val="002010AE"/>
    <w:rsid w:val="002100EB"/>
    <w:rsid w:val="00210C58"/>
    <w:rsid w:val="00217333"/>
    <w:rsid w:val="0021748C"/>
    <w:rsid w:val="00217E17"/>
    <w:rsid w:val="0024228D"/>
    <w:rsid w:val="002A7041"/>
    <w:rsid w:val="002B0CD8"/>
    <w:rsid w:val="002E4B4C"/>
    <w:rsid w:val="002F1DBB"/>
    <w:rsid w:val="002F2D89"/>
    <w:rsid w:val="00313DB7"/>
    <w:rsid w:val="0031412E"/>
    <w:rsid w:val="00316E92"/>
    <w:rsid w:val="00320EB2"/>
    <w:rsid w:val="00345E19"/>
    <w:rsid w:val="00361117"/>
    <w:rsid w:val="00383C31"/>
    <w:rsid w:val="00390DBC"/>
    <w:rsid w:val="003B0E35"/>
    <w:rsid w:val="00421E0D"/>
    <w:rsid w:val="00422E04"/>
    <w:rsid w:val="00423E30"/>
    <w:rsid w:val="004300CA"/>
    <w:rsid w:val="004537A1"/>
    <w:rsid w:val="00461709"/>
    <w:rsid w:val="00490D21"/>
    <w:rsid w:val="004B08F0"/>
    <w:rsid w:val="004B4BC1"/>
    <w:rsid w:val="004B7035"/>
    <w:rsid w:val="004B72FA"/>
    <w:rsid w:val="004F2DCB"/>
    <w:rsid w:val="00533990"/>
    <w:rsid w:val="00546478"/>
    <w:rsid w:val="00561C19"/>
    <w:rsid w:val="00565F9E"/>
    <w:rsid w:val="00581AF9"/>
    <w:rsid w:val="005B643D"/>
    <w:rsid w:val="005F6429"/>
    <w:rsid w:val="006018A5"/>
    <w:rsid w:val="00644B19"/>
    <w:rsid w:val="006610E2"/>
    <w:rsid w:val="006C0837"/>
    <w:rsid w:val="006D0FF3"/>
    <w:rsid w:val="006D1197"/>
    <w:rsid w:val="006D14A4"/>
    <w:rsid w:val="006E143A"/>
    <w:rsid w:val="006E2CF4"/>
    <w:rsid w:val="0070239F"/>
    <w:rsid w:val="00717731"/>
    <w:rsid w:val="0073692F"/>
    <w:rsid w:val="00741050"/>
    <w:rsid w:val="0074413B"/>
    <w:rsid w:val="007732DF"/>
    <w:rsid w:val="007B1488"/>
    <w:rsid w:val="007B1586"/>
    <w:rsid w:val="007C5F6D"/>
    <w:rsid w:val="007C6661"/>
    <w:rsid w:val="007C6924"/>
    <w:rsid w:val="007D453B"/>
    <w:rsid w:val="007D698A"/>
    <w:rsid w:val="00801454"/>
    <w:rsid w:val="00812290"/>
    <w:rsid w:val="00812439"/>
    <w:rsid w:val="00821830"/>
    <w:rsid w:val="00824315"/>
    <w:rsid w:val="00835987"/>
    <w:rsid w:val="008504A5"/>
    <w:rsid w:val="008723E1"/>
    <w:rsid w:val="008C78C7"/>
    <w:rsid w:val="008C7CFA"/>
    <w:rsid w:val="008D1F5A"/>
    <w:rsid w:val="008D3471"/>
    <w:rsid w:val="008F2755"/>
    <w:rsid w:val="00906AF8"/>
    <w:rsid w:val="0091359D"/>
    <w:rsid w:val="00930F0D"/>
    <w:rsid w:val="0095393B"/>
    <w:rsid w:val="00974B07"/>
    <w:rsid w:val="009913F2"/>
    <w:rsid w:val="009A6034"/>
    <w:rsid w:val="009A722F"/>
    <w:rsid w:val="009C0D56"/>
    <w:rsid w:val="009D3988"/>
    <w:rsid w:val="009D47D5"/>
    <w:rsid w:val="00A06A3E"/>
    <w:rsid w:val="00A06EA9"/>
    <w:rsid w:val="00A10A71"/>
    <w:rsid w:val="00A36FFB"/>
    <w:rsid w:val="00A42B50"/>
    <w:rsid w:val="00A4394D"/>
    <w:rsid w:val="00A6685E"/>
    <w:rsid w:val="00A81B91"/>
    <w:rsid w:val="00A92639"/>
    <w:rsid w:val="00AA1D2E"/>
    <w:rsid w:val="00AB2464"/>
    <w:rsid w:val="00AB45E5"/>
    <w:rsid w:val="00AE48B5"/>
    <w:rsid w:val="00AF7535"/>
    <w:rsid w:val="00B126AD"/>
    <w:rsid w:val="00B128F7"/>
    <w:rsid w:val="00B3125A"/>
    <w:rsid w:val="00B34961"/>
    <w:rsid w:val="00B44962"/>
    <w:rsid w:val="00B62BC5"/>
    <w:rsid w:val="00B90D3F"/>
    <w:rsid w:val="00BB15D6"/>
    <w:rsid w:val="00BB1A86"/>
    <w:rsid w:val="00BB34E2"/>
    <w:rsid w:val="00BB4FD1"/>
    <w:rsid w:val="00BB7692"/>
    <w:rsid w:val="00BD04D0"/>
    <w:rsid w:val="00C23F81"/>
    <w:rsid w:val="00C82E85"/>
    <w:rsid w:val="00C90209"/>
    <w:rsid w:val="00C95C15"/>
    <w:rsid w:val="00CB0ECF"/>
    <w:rsid w:val="00CE4C21"/>
    <w:rsid w:val="00D00868"/>
    <w:rsid w:val="00D12517"/>
    <w:rsid w:val="00D12DB3"/>
    <w:rsid w:val="00D34AB2"/>
    <w:rsid w:val="00D6381D"/>
    <w:rsid w:val="00D70FEE"/>
    <w:rsid w:val="00D84ECF"/>
    <w:rsid w:val="00D86B7E"/>
    <w:rsid w:val="00D872B4"/>
    <w:rsid w:val="00D9682B"/>
    <w:rsid w:val="00DD2A8D"/>
    <w:rsid w:val="00DD2E80"/>
    <w:rsid w:val="00DD62E8"/>
    <w:rsid w:val="00E1259E"/>
    <w:rsid w:val="00E205E1"/>
    <w:rsid w:val="00E52643"/>
    <w:rsid w:val="00E95920"/>
    <w:rsid w:val="00EB3659"/>
    <w:rsid w:val="00EC1E5C"/>
    <w:rsid w:val="00EE2A16"/>
    <w:rsid w:val="00EF3EC3"/>
    <w:rsid w:val="00F02C01"/>
    <w:rsid w:val="00F03E71"/>
    <w:rsid w:val="00F47F8A"/>
    <w:rsid w:val="00F574B0"/>
    <w:rsid w:val="00F84E02"/>
    <w:rsid w:val="00FD7545"/>
    <w:rsid w:val="00FF24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rules v:ext="edit">
        <o:r id="V:Rule2" type="connector" idref="#_x0000_s1026"/>
      </o:rules>
    </o:shapelayout>
  </w:shapeDefaults>
  <w:decimalSymbol w:val=","/>
  <w:listSeparator w:val=";"/>
  <w14:docId w14:val="02A78EF9"/>
  <w15:docId w15:val="{C9D2FBF0-D262-49A5-9593-7DB9640B3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1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03E71"/>
    <w:rPr>
      <w:rFonts w:ascii="Tahoma" w:hAnsi="Tahoma" w:cs="Tahoma"/>
      <w:sz w:val="16"/>
      <w:szCs w:val="16"/>
    </w:rPr>
  </w:style>
  <w:style w:type="character" w:customStyle="1" w:styleId="TextedebullesCar">
    <w:name w:val="Texte de bulles Car"/>
    <w:basedOn w:val="Policepardfaut"/>
    <w:link w:val="Textedebulles"/>
    <w:uiPriority w:val="99"/>
    <w:semiHidden/>
    <w:rsid w:val="00F03E71"/>
    <w:rPr>
      <w:rFonts w:ascii="Tahoma" w:hAnsi="Tahoma" w:cs="Tahoma"/>
      <w:sz w:val="16"/>
      <w:szCs w:val="16"/>
    </w:rPr>
  </w:style>
  <w:style w:type="character" w:styleId="Lienhypertexte">
    <w:name w:val="Hyperlink"/>
    <w:basedOn w:val="Policepardfaut"/>
    <w:uiPriority w:val="99"/>
    <w:unhideWhenUsed/>
    <w:rsid w:val="00F03E71"/>
    <w:rPr>
      <w:color w:val="0000FF" w:themeColor="hyperlink"/>
      <w:u w:val="single"/>
    </w:rPr>
  </w:style>
  <w:style w:type="paragraph" w:customStyle="1" w:styleId="RedaliaNormal">
    <w:name w:val="Redalia : Normal"/>
    <w:basedOn w:val="Normal"/>
    <w:rsid w:val="002E4B4C"/>
    <w:pPr>
      <w:keepNext/>
      <w:keepLines/>
      <w:spacing w:before="40"/>
      <w:jc w:val="both"/>
    </w:pPr>
    <w:rPr>
      <w:rFonts w:ascii="Verdana" w:hAnsi="Verdana" w:cs="Times New Roman"/>
      <w:sz w:val="22"/>
    </w:rPr>
  </w:style>
  <w:style w:type="paragraph" w:styleId="En-tte">
    <w:name w:val="header"/>
    <w:basedOn w:val="Normal"/>
    <w:link w:val="En-tteCar"/>
    <w:uiPriority w:val="99"/>
    <w:unhideWhenUsed/>
    <w:rsid w:val="00B126AD"/>
    <w:pPr>
      <w:tabs>
        <w:tab w:val="center" w:pos="4536"/>
        <w:tab w:val="right" w:pos="9072"/>
      </w:tabs>
    </w:pPr>
  </w:style>
  <w:style w:type="character" w:customStyle="1" w:styleId="En-tteCar">
    <w:name w:val="En-tête Car"/>
    <w:basedOn w:val="Policepardfaut"/>
    <w:link w:val="En-tte"/>
    <w:uiPriority w:val="99"/>
    <w:rsid w:val="00B126AD"/>
  </w:style>
  <w:style w:type="paragraph" w:styleId="Pieddepage">
    <w:name w:val="footer"/>
    <w:basedOn w:val="Normal"/>
    <w:link w:val="PieddepageCar"/>
    <w:uiPriority w:val="99"/>
    <w:unhideWhenUsed/>
    <w:rsid w:val="00B126AD"/>
    <w:pPr>
      <w:tabs>
        <w:tab w:val="center" w:pos="4536"/>
        <w:tab w:val="right" w:pos="9072"/>
      </w:tabs>
    </w:pPr>
  </w:style>
  <w:style w:type="character" w:customStyle="1" w:styleId="PieddepageCar">
    <w:name w:val="Pied de page Car"/>
    <w:basedOn w:val="Policepardfaut"/>
    <w:link w:val="Pieddepage"/>
    <w:uiPriority w:val="99"/>
    <w:rsid w:val="00B126AD"/>
  </w:style>
  <w:style w:type="paragraph" w:styleId="Paragraphedeliste">
    <w:name w:val="List Paragraph"/>
    <w:basedOn w:val="Normal"/>
    <w:uiPriority w:val="34"/>
    <w:qFormat/>
    <w:rsid w:val="00D6381D"/>
    <w:pPr>
      <w:ind w:left="720"/>
      <w:contextualSpacing/>
    </w:pPr>
  </w:style>
  <w:style w:type="character" w:styleId="Mentionnonrsolue">
    <w:name w:val="Unresolved Mention"/>
    <w:basedOn w:val="Policepardfaut"/>
    <w:uiPriority w:val="99"/>
    <w:semiHidden/>
    <w:unhideWhenUsed/>
    <w:rsid w:val="00D6381D"/>
    <w:rPr>
      <w:color w:val="605E5C"/>
      <w:shd w:val="clear" w:color="auto" w:fill="E1DFDD"/>
    </w:rPr>
  </w:style>
  <w:style w:type="table" w:styleId="Grilledutableau">
    <w:name w:val="Table Grid"/>
    <w:basedOn w:val="TableauNormal"/>
    <w:locked/>
    <w:rsid w:val="00EE2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arches-securise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securise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ansenprovence.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s-securises.fr" TargetMode="External"/><Relationship Id="rId4" Type="http://schemas.openxmlformats.org/officeDocument/2006/relationships/settings" Target="settings.xml"/><Relationship Id="rId9" Type="http://schemas.openxmlformats.org/officeDocument/2006/relationships/hyperlink" Target="mailto:marche.public@transenprovence.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A6310-2515-4627-A5F7-532BA8583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10</Pages>
  <Words>3597</Words>
  <Characters>19788</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@PersonneMoraleNom@</vt:lpstr>
    </vt:vector>
  </TitlesOfParts>
  <Company>Berger-Levrault</Company>
  <LinksUpToDate>false</LinksUpToDate>
  <CharactersWithSpaces>23339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@PersonneMoraleNom@</dc:title>
  <dc:creator>CHOMARD Laurent</dc:creator>
  <dc:description>Created by the HTML-to-RTF Pro DLL .Net 5.1.10.31</dc:description>
  <cp:lastModifiedBy>Marches</cp:lastModifiedBy>
  <cp:revision>31</cp:revision>
  <cp:lastPrinted>2022-09-13T07:36:00Z</cp:lastPrinted>
  <dcterms:created xsi:type="dcterms:W3CDTF">2018-09-05T08:21:00Z</dcterms:created>
  <dcterms:modified xsi:type="dcterms:W3CDTF">2024-10-21T13:20:00Z</dcterms:modified>
</cp:coreProperties>
</file>